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pBdr>
          <w:top w:val="none" w:color="000000" w:sz="0" w:space="0"/>
          <w:left w:val="none" w:color="000000" w:sz="0" w:space="0"/>
          <w:bottom w:val="none" w:color="000000" w:sz="0" w:space="0"/>
          <w:right w:val="none" w:color="000000" w:sz="0" w:space="0"/>
        </w:pBdr>
      </w:pPr>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u w:val="single"/>
          <w:lang w:eastAsia="zh-CN"/>
        </w:rPr>
        <w:t xml:space="preserve">扬州市住房和城乡建设局扬州海绵城市气象监测预警服务保障系统</w:t>
      </w:r>
      <w:r/>
    </w:p>
    <w:p>
      <w:pPr>
        <w:ind w:firstLine="96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Arial" w:hAnsi="Arial" w:eastAsia="Arial" w:cs="Arial"/>
          <w:b/>
          <w:color w:val="000000"/>
          <w:sz w:val="32"/>
          <w:u w:val="single"/>
        </w:rPr>
        <w:t xml:space="preserve">JSZC-321000-JZCG-G2025-0141</w:t>
      </w:r>
      <w:r/>
    </w:p>
    <w:p>
      <w:pPr>
        <w:ind w:left="2800" w:hanging="280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rPr>
          <w:rFonts w:ascii="宋体" w:hAnsi="宋体" w:cs="宋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120" w:after="120"/>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rPr>
        <w:t xml:space="preserve">2025</w:t>
      </w:r>
      <w:r>
        <w:rPr>
          <w:rFonts w:ascii="宋体" w:hAnsi="宋体" w:cs="宋体"/>
          <w:b/>
          <w:color w:val="000000"/>
          <w:sz w:val="32"/>
        </w:rPr>
        <w:t xml:space="preserve">年</w:t>
      </w:r>
      <w:r>
        <w:rPr>
          <w:rFonts w:hint="eastAsia" w:ascii="Arial" w:hAnsi="Arial" w:cs="Arial"/>
          <w:b/>
          <w:color w:val="000000"/>
          <w:sz w:val="32"/>
        </w:rPr>
        <w:t xml:space="preserve">12</w:t>
      </w:r>
      <w:r>
        <w:rPr>
          <w:rFonts w:ascii="宋体" w:hAnsi="宋体" w:cs="宋体"/>
          <w:b/>
          <w:color w:val="000000"/>
          <w:sz w:val="32"/>
        </w:rPr>
        <w:t xml:space="preserve">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797" w:bottom="1440" w:left="1797" w:header="851" w:footer="992" w:gutter="0"/>
          <w:pgNumType w:start="18"/>
          <w:cols w:num="1" w:sep="0" w:space="720" w:equalWidth="1"/>
          <w:docGrid w:linePitch="360"/>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投标邀请…………………………………3</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5"/>
        </w:numPr>
        <w:jc w:val="lef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rPr>
        <w:t xml:space="preserve">7</w:t>
      </w:r>
      <w:r/>
    </w:p>
    <w:p>
      <w:pPr>
        <w:numPr>
          <w:ilvl w:val="0"/>
          <w:numId w:val="5"/>
        </w:numPr>
        <w:jc w:val="lef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rPr>
        <w:t xml:space="preserve">33</w:t>
      </w:r>
      <w:r/>
    </w:p>
    <w:p>
      <w:pPr>
        <w:numPr>
          <w:ilvl w:val="0"/>
          <w:numId w:val="5"/>
        </w:numPr>
        <w:jc w:val="lef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rPr>
        <w:t xml:space="preserve">46</w:t>
      </w:r>
      <w:r/>
    </w:p>
    <w:p>
      <w:pPr>
        <w:numPr>
          <w:ilvl w:val="0"/>
          <w:numId w:val="5"/>
        </w:numPr>
        <w:jc w:val="lef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rPr>
        <w:t xml:space="preserve">49</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黑体" w:hAnsi="黑体" w:eastAsia="黑体" w:cs="黑体"/>
          <w:color w:val="000000"/>
          <w:sz w:val="44"/>
        </w:rPr>
        <w:t xml:space="preserve"> </w:t>
      </w:r>
      <w:r/>
    </w:p>
    <w:p>
      <w:pPr>
        <w:pStyle w:val="976"/>
        <w:rPr>
          <w:rFonts w:ascii="黑体" w:hAnsi="黑体" w:cs="黑体"/>
          <w:color w:val="000000"/>
        </w:rPr>
        <w:sectPr>
          <w:footerReference w:type="default" r:id="rId11"/>
          <w:footnotePr/>
          <w:endnotePr/>
          <w:type w:val="nextPage"/>
          <w:pgSz w:w="11906" w:h="16838" w:orient="portrait"/>
          <w:pgMar w:top="1440" w:right="1797" w:bottom="1440" w:left="1797" w:header="851" w:footer="992" w:gutter="0"/>
          <w:pgNumType w:start="2"/>
          <w:cols w:num="1" w:sep="0" w:space="720" w:equalWidth="1"/>
          <w:docGrid w:linePitch="360"/>
        </w:sectPr>
      </w:pPr>
      <w:r>
        <w:rPr>
          <w:rFonts w:ascii="黑体" w:hAnsi="黑体" w:cs="黑体"/>
          <w:color w:val="000000"/>
        </w:rPr>
      </w:r>
      <w:r/>
    </w:p>
    <w:p>
      <w:pPr>
        <w:pStyle w:val="976"/>
      </w:pPr>
      <w:r>
        <w:rPr>
          <w:rFonts w:ascii="黑体" w:hAnsi="黑体" w:cs="黑体"/>
          <w:color w:val="000000"/>
        </w:rPr>
        <w:t xml:space="preserve">第一章投标邀请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受[</w:t>
      </w:r>
      <w:r>
        <w:rPr>
          <w:rFonts w:hint="eastAsia" w:ascii="宋体" w:hAnsi="宋体" w:cs="宋体"/>
          <w:sz w:val="24"/>
        </w:rPr>
        <w:t xml:space="preserve">扬州市住房和城乡建设局</w:t>
      </w:r>
      <w:r>
        <w:rPr>
          <w:rFonts w:ascii="宋体" w:hAnsi="宋体" w:cs="宋体"/>
          <w:sz w:val="24"/>
        </w:rPr>
        <w:t xml:space="preserve">]的委托，扬州市公共资源交易中心就[</w:t>
      </w:r>
      <w:r>
        <w:rPr>
          <w:rFonts w:hint="eastAsia" w:ascii="宋体" w:hAnsi="宋体" w:cs="宋体"/>
          <w:sz w:val="24"/>
          <w:lang w:eastAsia="zh-CN"/>
        </w:rPr>
        <w:t xml:space="preserve">扬州市住房和城乡建设局扬州海绵城市气象监测预警服务保障系统</w:t>
      </w:r>
      <w:r>
        <w:rPr>
          <w:rFonts w:ascii="宋体" w:hAnsi="宋体" w:cs="宋体"/>
          <w:sz w:val="24"/>
        </w:rPr>
        <w:t xml:space="preserve">](</w:t>
      </w:r>
      <w:r>
        <w:rPr>
          <w:rFonts w:hint="eastAsia" w:ascii="宋体" w:hAnsi="宋体" w:cs="宋体"/>
          <w:sz w:val="24"/>
        </w:rPr>
        <w:t xml:space="preserve">JSZC-321000-JZCG-G2025-0141</w:t>
      </w:r>
      <w:r>
        <w:rPr>
          <w:rFonts w:ascii="宋体" w:hAnsi="宋体" w:cs="宋体"/>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sz w:val="24"/>
          <w:u w:val="single"/>
        </w:rPr>
        <w:t xml:space="preserve">(</w:t>
      </w:r>
      <w:r>
        <w:rPr>
          <w:rFonts w:hint="eastAsia" w:ascii="宋体" w:hAnsi="宋体" w:cs="宋体"/>
          <w:sz w:val="24"/>
          <w:u w:val="single"/>
          <w:lang w:eastAsia="zh-CN"/>
        </w:rPr>
        <w:t xml:space="preserve">扬州市住房和城乡建设局扬州海绵城市气象监测预警服务保障系统</w:t>
      </w:r>
      <w:r>
        <w:rPr>
          <w:rFonts w:ascii="宋体" w:hAnsi="宋体" w:cs="宋体"/>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hint="eastAsia" w:ascii="宋体" w:hAnsi="宋体" w:cs="宋体"/>
          <w:color w:val="ff0000"/>
          <w:sz w:val="24"/>
          <w:u w:val="single"/>
        </w:rPr>
        <w:t xml:space="preserve">2025</w:t>
      </w:r>
      <w:r>
        <w:rPr>
          <w:rFonts w:ascii="宋体" w:hAnsi="宋体" w:cs="宋体"/>
          <w:color w:val="ff0000"/>
          <w:sz w:val="24"/>
          <w:u w:val="single"/>
        </w:rPr>
        <w:t xml:space="preserve">年</w:t>
      </w:r>
      <w:r>
        <w:rPr>
          <w:rFonts w:hint="eastAsia" w:ascii="宋体" w:hAnsi="宋体" w:cs="宋体"/>
          <w:color w:val="ff0000"/>
          <w:sz w:val="24"/>
          <w:u w:val="single"/>
        </w:rPr>
        <w:t xml:space="preserve">12</w:t>
      </w:r>
      <w:r>
        <w:rPr>
          <w:rFonts w:ascii="宋体" w:hAnsi="宋体" w:cs="宋体"/>
          <w:color w:val="ff0000"/>
          <w:sz w:val="24"/>
          <w:u w:val="single"/>
        </w:rPr>
        <w:t xml:space="preserve">月</w:t>
      </w:r>
      <w:r>
        <w:rPr>
          <w:rFonts w:hint="eastAsia" w:ascii="宋体" w:hAnsi="宋体" w:cs="宋体"/>
          <w:color w:val="ff0000"/>
          <w:sz w:val="24"/>
          <w:u w:val="single"/>
          <w:lang w:val="en-US" w:eastAsia="zh-CN"/>
        </w:rPr>
        <w:t xml:space="preserve">31</w:t>
      </w:r>
      <w:r>
        <w:rPr>
          <w:rFonts w:ascii="宋体" w:hAnsi="宋体" w:cs="宋体"/>
          <w:color w:val="ff0000"/>
          <w:sz w:val="24"/>
          <w:u w:val="single"/>
        </w:rPr>
        <w:t xml:space="preserve">日09点30分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JSZC-321000-JZCG-G2025-0141</w:t>
      </w:r>
      <w:r/>
    </w:p>
    <w:p>
      <w:pPr>
        <w:ind w:firstLine="480"/>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lang w:eastAsia="zh-CN"/>
        </w:rPr>
        <w:t xml:space="preserve">扬州市住房和城乡建设局扬州海绵城市气象监测预警服务保障系统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78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0"/>
        <w:gridCol w:w="65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510.755 </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78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3277"/>
        <w:gridCol w:w="33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7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2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510.755</w:t>
            </w:r>
            <w:r/>
          </w:p>
        </w:tc>
      </w:tr>
    </w:tbl>
    <w:p>
      <w:pPr>
        <w:ind w:firstLine="480"/>
        <w:jc w:val="left"/>
        <w:spacing w:line="360" w:lineRule="auto"/>
        <w:widowControl/>
      </w:pPr>
      <w:r>
        <w:rPr>
          <w:rFonts w:ascii="宋体" w:hAnsi="宋体" w:cs="宋体"/>
          <w:color w:val="000000"/>
          <w:sz w:val="24"/>
        </w:rPr>
        <w:t xml:space="preserve">5.采购需求(简介)：</w:t>
      </w:r>
      <w:r>
        <w:rPr>
          <w:rFonts w:hint="eastAsia" w:ascii="宋体" w:hAnsi="宋体" w:cs="宋体"/>
          <w:sz w:val="24"/>
          <w:szCs w:val="24"/>
          <w:lang w:eastAsia="zh-CN"/>
        </w:rPr>
        <w:t xml:space="preserve">扬州市住房和城乡建设局扬州海绵城市气象监测预警服务保障系统</w:t>
      </w:r>
      <w:r>
        <w:rPr>
          <w:rFonts w:ascii="宋体" w:hAnsi="宋体" w:cs="宋体"/>
          <w:sz w:val="24"/>
          <w:szCs w:val="24"/>
        </w:rPr>
        <w:t xml:space="preserve">建设包括在中心城区及周边加密布设27套区域气象观测站、16套微型气象观测站（雨量站），对扬州国家气象观测站综合观测系统进行升级改造，同时完成相关观测设备备件采购及监测数据系统集成工作。</w:t>
      </w:r>
      <w:r>
        <w:rPr>
          <w:rFonts w:ascii="宋体" w:hAnsi="宋体" w:cs="宋体"/>
          <w:color w:val="000000"/>
          <w:sz w:val="24"/>
        </w:rPr>
        <w:t xml:space="preserve">（详细内容见本招标文件第四章）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rPr>
        <w:t xml:space="preserve">合同签订之日起120天内完成安装、调</w:t>
      </w:r>
      <w:r>
        <w:rPr>
          <w:rFonts w:hint="eastAsia" w:ascii="宋体" w:hAnsi="宋体" w:cs="宋体"/>
          <w:color w:val="auto"/>
          <w:sz w:val="24"/>
        </w:rPr>
        <w:t xml:space="preserve">试、</w:t>
      </w:r>
      <w:r>
        <w:rPr>
          <w:rFonts w:hint="eastAsia" w:ascii="宋体" w:hAnsi="宋体" w:cs="宋体"/>
          <w:b w:val="0"/>
          <w:bCs/>
          <w:color w:val="auto"/>
          <w:sz w:val="24"/>
        </w:rPr>
        <w:t xml:space="preserve">验收。</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p>
    <w:p>
      <w:pPr>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p>
      <w:pPr>
        <w:ind w:firstLine="480"/>
        <w:pBdr>
          <w:top w:val="none" w:color="000000" w:sz="0" w:space="0"/>
          <w:left w:val="none" w:color="000000" w:sz="0" w:space="0"/>
          <w:bottom w:val="none" w:color="000000" w:sz="0" w:space="0"/>
          <w:right w:val="none" w:color="000000" w:sz="0" w:space="0"/>
        </w:pBdr>
      </w:pPr>
      <w:r/>
      <w:r/>
    </w:p>
    <w:tbl>
      <w:tblPr>
        <w:tblStyle w:val="78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2489"/>
        <w:gridCol w:w="38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3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3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8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62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8" w:type="dxa"/>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（二）本项目的特定资格要求</w:t>
      </w:r>
      <w:r/>
    </w:p>
    <w:tbl>
      <w:tblPr>
        <w:tblStyle w:val="78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63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7" w:type="dxa"/>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tc>
      </w:tr>
    </w:tbl>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ff0000"/>
          <w:sz w:val="24"/>
          <w:u w:val="single"/>
        </w:rPr>
        <w:t xml:space="preserve">2025年</w:t>
      </w:r>
      <w:r>
        <w:rPr>
          <w:rFonts w:hint="eastAsia" w:ascii="宋体" w:hAnsi="宋体" w:cs="宋体"/>
          <w:color w:val="ff0000"/>
          <w:sz w:val="24"/>
          <w:u w:val="single"/>
        </w:rPr>
        <w:t xml:space="preserve">12</w:t>
      </w:r>
      <w:r>
        <w:rPr>
          <w:rFonts w:ascii="宋体" w:hAnsi="宋体" w:cs="宋体"/>
          <w:color w:val="ff0000"/>
          <w:sz w:val="24"/>
          <w:u w:val="single"/>
        </w:rPr>
        <w:t xml:space="preserve">月</w:t>
      </w:r>
      <w:r>
        <w:rPr>
          <w:rFonts w:hint="eastAsia" w:ascii="宋体" w:hAnsi="宋体" w:cs="宋体"/>
          <w:color w:val="ff0000"/>
          <w:sz w:val="24"/>
          <w:u w:val="single"/>
          <w:lang w:val="en-US" w:eastAsia="zh-CN"/>
        </w:rPr>
        <w:t xml:space="preserve">31</w:t>
      </w:r>
      <w:r>
        <w:rPr>
          <w:rFonts w:ascii="宋体" w:hAnsi="宋体" w:cs="宋体"/>
          <w:color w:val="ff0000"/>
          <w:sz w:val="24"/>
          <w:u w:val="single"/>
        </w:rPr>
        <w:t xml:space="preserve">日</w:t>
      </w:r>
      <w:r>
        <w:rPr>
          <w:rFonts w:hint="eastAsia" w:ascii="宋体" w:hAnsi="宋体" w:cs="宋体"/>
          <w:color w:val="ff0000"/>
          <w:sz w:val="24"/>
          <w:u w:val="single"/>
        </w:rPr>
        <w:t xml:space="preserve">09</w:t>
      </w:r>
      <w:r>
        <w:rPr>
          <w:rFonts w:ascii="宋体" w:hAnsi="宋体" w:cs="宋体"/>
          <w:color w:val="ff0000"/>
          <w:sz w:val="24"/>
          <w:u w:val="single"/>
        </w:rPr>
        <w:t xml:space="preserve">点</w:t>
      </w:r>
      <w:r>
        <w:rPr>
          <w:rFonts w:hint="eastAsia" w:ascii="宋体" w:hAnsi="宋体" w:cs="宋体"/>
          <w:color w:val="ff0000"/>
          <w:sz w:val="24"/>
          <w:u w:val="single"/>
        </w:rPr>
        <w:t xml:space="preserve">30</w:t>
      </w:r>
      <w:r>
        <w:rPr>
          <w:rFonts w:ascii="宋体" w:hAnsi="宋体" w:cs="宋体"/>
          <w:color w:val="ff0000"/>
          <w:sz w:val="24"/>
          <w:u w:val="single"/>
        </w:rPr>
        <w:t xml:space="preserve">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rPr>
          <w:rFonts w:hint="eastAsia" w:ascii="宋体" w:hAnsi="宋体" w:cs="宋体"/>
          <w:color w:val="000000"/>
          <w:sz w:val="24"/>
          <w:u w:val="single"/>
        </w:rPr>
        <w:t xml:space="preserve">扬州市住房和城乡建设局</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cs="宋体"/>
          <w:color w:val="000000"/>
          <w:sz w:val="24"/>
          <w:u w:val="single"/>
        </w:rPr>
        <w:t xml:space="preserve">扬州市文昌东路1号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s="宋体"/>
          <w:color w:val="000000"/>
          <w:sz w:val="24"/>
          <w:u w:val="single"/>
        </w:rPr>
        <w:t xml:space="preserve">邹建新</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u w:val="single"/>
        </w:rPr>
        <w:t xml:space="preserve">13665203689</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2.扬州市公共资源交易中心信息</w:t>
      </w:r>
      <w:r/>
    </w:p>
    <w:p>
      <w:pPr>
        <w:ind w:firstLine="48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扬州市文昌东路9号广陵新城市民中心1号楼5楼1529室</w:t>
      </w:r>
      <w:r/>
    </w:p>
    <w:p>
      <w:pPr>
        <w:ind w:firstLine="48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张自美</w:t>
      </w:r>
      <w:r/>
    </w:p>
    <w:p>
      <w:pPr>
        <w:ind w:firstLine="480"/>
        <w:spacing w:line="360" w:lineRule="auto"/>
        <w:rPr>
          <w:rFonts w:ascii="宋体" w:hAnsi="宋体"/>
          <w:sz w:val="24"/>
          <w:szCs w:val="24"/>
        </w:rPr>
      </w:pPr>
      <w:r>
        <w:rPr>
          <w:rFonts w:hint="eastAsia" w:ascii="宋体" w:hAnsi="宋体"/>
          <w:sz w:val="24"/>
          <w:szCs w:val="24"/>
        </w:rPr>
        <w:t xml:space="preserve">联系方式：</w:t>
      </w:r>
      <w:bookmarkStart w:id="0" w:name="_Toc28359010"/>
      <w:r/>
      <w:bookmarkStart w:id="1" w:name="_Toc28359087"/>
      <w:r>
        <w:rPr>
          <w:rFonts w:hint="eastAsia" w:ascii="宋体" w:hAnsi="宋体"/>
          <w:sz w:val="24"/>
          <w:szCs w:val="24"/>
          <w:u w:val="single"/>
        </w:rPr>
        <w:t xml:space="preserve">0514-82087195</w:t>
      </w:r>
      <w:bookmarkEnd w:id="0"/>
      <w:r/>
      <w:bookmarkEnd w:id="1"/>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2.有关本次招标的事项若存在变动或修改，敬请及时关注扬州市公共资源交易中心在“江苏政府采购网”、“扬州市政府采购网”发布的更正公告。</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3.本次招标不收取投标保证金。</w:t>
      </w:r>
      <w:r/>
    </w:p>
    <w:p>
      <w:pPr>
        <w:ind w:firstLine="480"/>
        <w:spacing w:line="400" w:lineRule="atLeast"/>
        <w:pBdr>
          <w:top w:val="none" w:color="000000" w:sz="0" w:space="0"/>
          <w:left w:val="none" w:color="000000" w:sz="0" w:space="0"/>
          <w:bottom w:val="none" w:color="000000" w:sz="0" w:space="0"/>
          <w:right w:val="none" w:color="000000" w:sz="0" w:space="0"/>
        </w:pBdr>
      </w:pPr>
      <w:r>
        <w:br w:type="page" w:clear="all"/>
      </w:r>
      <w:r/>
    </w:p>
    <w:p>
      <w:pPr>
        <w:pStyle w:val="976"/>
      </w:pPr>
      <w:r>
        <w:rPr>
          <w:rFonts w:ascii="黑体" w:hAnsi="黑体" w:cs="黑体"/>
          <w:b/>
          <w:color w:val="000000"/>
        </w:rPr>
        <w:t xml:space="preserve">第二章投标人须知</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45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7.3招标文件的修改将在江苏政府采购网、扬州市政府采购网公布，补充文件将作为招标文件的组成部分，并对投标人具有约束力。</w:t>
      </w:r>
      <w:r/>
    </w:p>
    <w:p>
      <w:pPr>
        <w:ind w:firstLine="48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6"/>
        </w:num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10.1投标人应按照招标文件要求提交证明文件，证明其投标标的符合招标文件规定。</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13.2投标人需根据招标文件要求提供培训计划。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13.3投标人需根据招标文件要求提供所投标的的主要组成部分、功能设计、实现思路及关键技术等。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17.1投标人应当按照《操作手册》规定，在投标截止时间前制作并上传电</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子投标文件。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18.1投标人上传电子投标文件的时间不得迟于招标公告中规定的投标截止时间。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20.1.1电子投标文件的撤回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20.1.2投标人撤回电子投标文件，则认为其不再参与本项目投标活动。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20.2.2在投标截止时间之后，投标人不得对其电子投标文件作任何修改。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20.3在投标截止时间至招标文件中规定的投标有效期满之间的这段时间内，投标人不得撤回其投标。</w:t>
      </w:r>
      <w:r/>
    </w:p>
    <w:p>
      <w:pPr>
        <w:ind w:firstLine="48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21.4投标人如果对开标过程和开标记录有疑义，应当根据《操作手册》规定提出，如苏采云系统中《开标记录表》宣布后5分钟内未提出的，视同认可开标结果。</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22.3评委会独立工作，负责评审所有投标文件并确定中标候选人。</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23.1凡是与审查、澄清、评价和比较投标的有关资料以及授标建议等，采购人、评委、交易中心均不得向投标人或与评标无关的其他人员透露。</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23.2在评标过程中，投标人不得以任何行为影响评标过程，否则其投标文件将被作为无效投标文件。</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23.3交易中心和评委会不向未中标的投标人解释未中标原因，也不公布评标过程中的相关细节。</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23.4采用综合评分法的项目，未中标的投标人可于中标结果公告期限届满之日起通过苏采云系统查看自己的评审得分及排序情况。</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评委会并非对每个投标人都做澄清要求。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 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非单一产品采购项目，招标文件中将载明其中的核心产品。多家投标人提供的核心产品品牌相同的，按前两款规定处理。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26.1.2投标人未按照招标文件要求上传电子投标文件的。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26.1.3投标人同一采购包提交两个（含两个）以上不同的投标报价的。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26.1.5投标人的报价超过了采购预算或最高限价的。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26.1.7不符合招标文件中规定的实质性要求的</w:t>
      </w:r>
      <w:r>
        <w:rPr>
          <w:rFonts w:ascii="宋体" w:hAnsi="宋体" w:cs="宋体"/>
          <w:b/>
          <w:color w:val="ff0000"/>
          <w:sz w:val="24"/>
        </w:rPr>
        <w:t xml:space="preserve">（本招标文件中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26.1.9投标文件含有采购人不能接受的附加条件的。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26.1.10 异常低价投标（响应）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26.1.10.1投标（响应）报价低于采购项目预算 50% 的，即投标（响应）报价&lt;采购项目预算×50%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26.1.10.2投标（响应）报价低于采购项目最高限价 45% 的，即投标（响应）报价&lt;采购项目最高限价×45%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26.1.10.3评审委员会认定的供应商报价过低、有可能影响产品质量或者不能诚信履约的其他情形。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26.1.10.4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26.1.12 投标文件未按照招标文件要求加盖CA电子公章的。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26.1.13其他法律、法规及本招标文件规定的属无效投标的情形。</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26.2废标条款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26.2.1符合专业条件的供应商或者对招标文件作出实质响应的供应商不足三家的。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26.2.2出现影响采购公正的违法、违规行为的。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26.2.3因重大变故，采购任务取消的。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26.2.4评委会认定招标文件存在歧义、重大缺陷导致评审工作无法进</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行。</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26.2.5因苏采云系统系统故障原因造成开标不成功的。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26.3.1如出现投标截止时间结束后参加投标的供应商或者在评标期间对招标文件作出实质响应的供应商不足三家情况，按政府采购相关规定执行。</w:t>
      </w:r>
      <w:r/>
    </w:p>
    <w:p>
      <w:pPr>
        <w:ind w:firstLine="48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27.5.4不同投标人的投标文件异常一致或者投标报价呈规律性差异。</w:t>
      </w:r>
      <w:r/>
    </w:p>
    <w:p>
      <w:pPr>
        <w:ind w:firstLine="480"/>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28.2.2对采购过程提出质疑的，为各采购程序环节结束之日；</w:t>
      </w:r>
      <w:r>
        <w:br/>
      </w:r>
      <w:r>
        <w:rPr>
          <w:rFonts w:ascii="宋体" w:hAnsi="宋体" w:cs="宋体"/>
          <w:color w:val="000000"/>
          <w:sz w:val="24"/>
        </w:rPr>
        <w:t xml:space="preserve">28.2.3对中标或者成交结果提出质疑的，为中标或者成交结果公告期限届满之日。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28.4供应商（含潜在供应商）对与本项目有关的所有询问、质疑均请向采购人提出，由采购人负责答复。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质疑接收人及联系方式详见招标文件第一章。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5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30.1中标供应商应当在中标通知书发出之日起三十日内，按照招标文件确定的事项与采购人签订政府采购合同。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firstLine="55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14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14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第三章  合同文本</w:t>
      </w:r>
      <w:r/>
    </w:p>
    <w:p>
      <w:pPr>
        <w:spacing w:line="400" w:lineRule="exact"/>
        <w:rPr>
          <w:rFonts w:ascii="宋体" w:hAnsi="宋体"/>
          <w:bCs/>
          <w:color w:val="ff0000"/>
          <w:sz w:val="24"/>
          <w:szCs w:val="24"/>
          <w:highlight w:val="yellow"/>
        </w:rPr>
      </w:pPr>
      <w:r>
        <w:rPr>
          <w:rFonts w:ascii="宋体" w:hAnsi="宋体"/>
          <w:bCs/>
          <w:color w:val="ff0000"/>
          <w:sz w:val="24"/>
          <w:szCs w:val="24"/>
          <w:highlight w:val="yellow"/>
        </w:rPr>
      </w:r>
      <w:r/>
    </w:p>
    <w:p>
      <w:pPr>
        <w:spacing w:line="500" w:lineRule="exact"/>
        <w:rPr>
          <w:rFonts w:ascii="宋体" w:hAnsi="宋体"/>
          <w:bCs/>
          <w:color w:val="000000"/>
          <w:sz w:val="24"/>
          <w:szCs w:val="24"/>
        </w:rPr>
      </w:pPr>
      <w:r>
        <w:rPr>
          <w:rFonts w:ascii="宋体" w:hAnsi="宋体"/>
          <w:bCs/>
          <w:color w:val="000000"/>
          <w:sz w:val="24"/>
          <w:szCs w:val="24"/>
        </w:rPr>
      </w:r>
      <w:r/>
    </w:p>
    <w:p>
      <w:pPr>
        <w:pStyle w:val="76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6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6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6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pStyle w:val="752"/>
        <w:spacing w:line="400" w:lineRule="exact"/>
        <w:rPr>
          <w:rFonts w:ascii="黑体" w:hAnsi="黑体" w:eastAsia="黑体"/>
          <w:sz w:val="28"/>
          <w:szCs w:val="28"/>
        </w:rPr>
      </w:pPr>
      <w:r>
        <w:rPr>
          <w:rFonts w:ascii="黑体" w:hAnsi="黑体" w:eastAsia="黑体"/>
          <w:sz w:val="28"/>
          <w:szCs w:val="28"/>
        </w:rPr>
      </w:r>
      <w:r/>
    </w:p>
    <w:p>
      <w:pPr>
        <w:pStyle w:val="752"/>
        <w:spacing w:line="400" w:lineRule="exact"/>
        <w:rPr>
          <w:rFonts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pStyle w:val="752"/>
        <w:spacing w:line="400" w:lineRule="exact"/>
        <w:rPr>
          <w:rFonts w:ascii="黑体" w:hAnsi="华文中宋" w:eastAsia="黑体"/>
          <w:sz w:val="28"/>
          <w:szCs w:val="28"/>
        </w:rPr>
      </w:pPr>
      <w:r>
        <w:rPr>
          <w:rFonts w:ascii="黑体" w:hAnsi="华文中宋" w:eastAsia="黑体"/>
          <w:sz w:val="28"/>
          <w:szCs w:val="28"/>
        </w:rPr>
      </w:r>
      <w:r/>
    </w:p>
    <w:p>
      <w:pPr>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（采购人、受采购人委托签订合同的单位或采购文件约定的合同甲方）</w:t>
      </w:r>
      <w:r/>
    </w:p>
    <w:p>
      <w:pPr>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ascii="宋体" w:hAnsi="宋体"/>
        </w:rPr>
      </w:pPr>
      <w:r>
        <w:rPr>
          <w:rFonts w:hint="eastAsia"/>
        </w:rPr>
        <w:t xml:space="preserve">乙方</w:t>
      </w:r>
      <w:r>
        <w:rPr>
          <w:rFonts w:hint="eastAsia" w:ascii="宋体" w:hAnsi="宋体"/>
        </w:rPr>
        <w:t xml:space="preserve">3</w:t>
      </w:r>
      <w:r>
        <w:rPr>
          <w:rFonts w:hint="eastAsia"/>
        </w:rPr>
        <w:t xml:space="preserve">（全称）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pPr>
      <w:r/>
      <w:r/>
    </w:p>
    <w:p>
      <w:pPr>
        <w:pStyle w:val="766"/>
        <w:ind w:left="0" w:firstLine="420"/>
        <w:spacing w:after="0" w:line="400" w:lineRule="exact"/>
        <w:rPr>
          <w:rFonts w:ascii="宋体" w:hAnsi="宋体"/>
        </w:rPr>
      </w:pPr>
      <w:r>
        <w:rPr>
          <w:rFonts w:hint="eastAsia" w:ascii="宋体" w:hAnsi="宋体"/>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7"/>
        </w:numPr>
        <w:ind w:firstLine="422"/>
        <w:spacing w:line="400" w:lineRule="exact"/>
        <w:rPr>
          <w:rFonts w:ascii="宋体" w:hAnsi="宋体"/>
          <w:b/>
        </w:rPr>
      </w:pPr>
      <w:r>
        <w:rPr>
          <w:rFonts w:hint="eastAsia" w:ascii="宋体" w:hAnsi="宋体"/>
          <w:b/>
        </w:rPr>
        <w:t xml:space="preserve">项目信息</w:t>
      </w:r>
      <w:r/>
    </w:p>
    <w:p>
      <w:pPr>
        <w:pStyle w:val="766"/>
        <w:numPr>
          <w:ilvl w:val="0"/>
          <w:numId w:val="8"/>
        </w:numPr>
        <w:ind w:left="0" w:firstLine="420"/>
        <w:spacing w:after="0" w:line="400" w:lineRule="exact"/>
        <w:rPr>
          <w:rFonts w:ascii="宋体" w:hAnsi="宋体"/>
          <w:u w:val="single"/>
        </w:rPr>
      </w:pPr>
      <w:r>
        <w:rPr>
          <w:rFonts w:hint="eastAsia" w:ascii="宋体" w:hAnsi="宋体"/>
        </w:rPr>
        <w:t xml:space="preserve">采购项目名称：</w:t>
      </w:r>
      <w:r>
        <w:rPr>
          <w:rFonts w:ascii="宋体" w:hAnsi="宋体"/>
          <w:u w:val="single"/>
        </w:rPr>
        <w:t xml:space="preserve">                                          </w:t>
      </w:r>
      <w:r/>
    </w:p>
    <w:p>
      <w:pPr>
        <w:pStyle w:val="766"/>
        <w:ind w:left="0"/>
        <w:spacing w:after="0" w:line="400" w:lineRule="exact"/>
        <w:tabs>
          <w:tab w:val="left" w:pos="999" w:leader="none"/>
        </w:tabs>
        <w:rPr>
          <w:rFonts w:ascii="宋体" w:hAnsi="宋体"/>
        </w:rPr>
      </w:pPr>
      <w:r>
        <w:rPr>
          <w:rFonts w:hint="eastAsia" w:ascii="宋体" w:hAnsi="宋体"/>
        </w:rPr>
        <w:t xml:space="preserve">         采购项目编号：</w:t>
      </w:r>
      <w:r>
        <w:rPr>
          <w:rFonts w:ascii="宋体" w:hAnsi="宋体"/>
          <w:u w:val="single"/>
        </w:rPr>
        <w:t xml:space="preserve">                                          </w:t>
      </w:r>
      <w:r/>
    </w:p>
    <w:p>
      <w:pPr>
        <w:pStyle w:val="766"/>
        <w:ind w:left="0" w:firstLine="420"/>
        <w:spacing w:after="0" w:line="400" w:lineRule="exact"/>
        <w:rPr>
          <w:rFonts w:ascii="宋体" w:hAnsi="宋体"/>
        </w:rPr>
      </w:pPr>
      <w:r>
        <w:rPr>
          <w:rFonts w:hint="eastAsia" w:ascii="宋体" w:hAnsi="宋体"/>
        </w:rPr>
        <w:t xml:space="preserve">（2）采购计划编号：</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p>
    <w:p>
      <w:pPr>
        <w:ind w:firstLine="420"/>
        <w:spacing w:line="400" w:lineRule="exact"/>
        <w:rPr>
          <w:rFonts w:ascii="宋体" w:hAnsi="宋体"/>
        </w:rPr>
      </w:pPr>
      <w:r>
        <w:rPr>
          <w:rFonts w:hint="eastAsia" w:ascii="宋体" w:hAnsi="宋体"/>
        </w:rPr>
        <w:t xml:space="preserve">（3）项目内容：</w:t>
      </w:r>
      <w:r/>
    </w:p>
    <w:p>
      <w:pPr>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p>
    <w:p>
      <w:pPr>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ascii="宋体" w:hAnsi="宋体"/>
          <w:u w:val="single"/>
        </w:rPr>
      </w:pPr>
      <w:r>
        <w:rPr>
          <w:rFonts w:hint="eastAsia" w:ascii="宋体" w:hAnsi="宋体"/>
        </w:rPr>
        <w:t xml:space="preserve">采购标的的技术要求、商务要求具体见附件。</w:t>
      </w:r>
      <w:r/>
    </w:p>
    <w:p>
      <w:pPr>
        <w:ind w:firstLine="945"/>
        <w:spacing w:line="400" w:lineRule="exact"/>
        <w:rPr>
          <w:rFonts w:ascii="宋体" w:hAnsi="宋体" w:cs="宋体"/>
        </w:rPr>
      </w:pPr>
      <w:r>
        <w:rPr>
          <w:rFonts w:hint="eastAsia" w:ascii="汉仪书宋二S" w:hAnsi="汉仪书宋二S" w:eastAsia="汉仪书宋二S" w:cs="汉仪书宋二S"/>
        </w:rPr>
        <w:t xml:space="preserve">①</w:t>
      </w:r>
      <w:r>
        <w:rPr>
          <w:rFonts w:hint="eastAsia" w:ascii="宋体" w:hAnsi="宋体" w:cs="宋体"/>
        </w:rPr>
        <w:t xml:space="preserve">涉及信息类产品，请填写该产品关键部件的品牌、型号：</w:t>
      </w:r>
      <w:r/>
    </w:p>
    <w:p>
      <w:pPr>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1097"/>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97"/>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97"/>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97"/>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97"/>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97"/>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97"/>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97"/>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97"/>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97"/>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97"/>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ascii="宋体" w:hAnsi="宋体"/>
          <w:iCs/>
        </w:rPr>
      </w:pPr>
      <w:r>
        <w:rPr>
          <w:rFonts w:hint="eastAsia"/>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分包供应商/制造商名称（如供应商和制造商不同，请分别填写）：</w:t>
      </w:r>
      <w:r/>
    </w:p>
    <w:p>
      <w:pPr>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eastAsia="华文楷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1097"/>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宋体" w:hAnsi="宋体"/>
          <w:iCs/>
        </w:rPr>
        <w:t xml:space="preserve">       </w:t>
      </w: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spacing w:line="400" w:lineRule="exact"/>
        <w:tabs>
          <w:tab w:val="left" w:pos="740" w:leader="none"/>
        </w:tabs>
        <w:rPr>
          <w:rFonts w:ascii="宋体" w:hAnsi="宋体"/>
        </w:rPr>
      </w:pPr>
      <w:r>
        <w:rPr>
          <w:rFonts w:hint="eastAsia" w:ascii="宋体" w:hAnsi="宋体"/>
        </w:rPr>
        <w:t xml:space="preserve">          是否涉及环境标志产品：</w:t>
      </w:r>
      <w:r/>
    </w:p>
    <w:p>
      <w:pPr>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1097"/>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97"/>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1097"/>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7"/>
        </w:numPr>
        <w:ind w:firstLine="422"/>
        <w:spacing w:line="400" w:lineRule="exact"/>
        <w:rPr>
          <w:rFonts w:ascii="宋体" w:hAnsi="宋体"/>
          <w:b/>
        </w:rPr>
      </w:pPr>
      <w:r>
        <w:rPr>
          <w:rFonts w:hint="eastAsia" w:ascii="宋体" w:hAnsi="宋体"/>
          <w:b/>
        </w:rPr>
        <w:t xml:space="preserve">合同金额</w:t>
      </w:r>
      <w:r/>
    </w:p>
    <w:p>
      <w:pPr>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ascii="宋体" w:hAnsi="宋体"/>
          <w:u w:val="single"/>
        </w:rPr>
      </w:pPr>
      <w:r>
        <w:rPr>
          <w:rFonts w:hint="eastAsia" w:ascii="宋体" w:hAnsi="宋体"/>
        </w:rPr>
        <w:t xml:space="preserve">                     </w:t>
      </w:r>
      <w:r>
        <w:rPr>
          <w:rFonts w:ascii="宋体" w:hAnsi="宋体"/>
        </w:rPr>
        <w:t xml:space="preserve">    </w:t>
      </w:r>
      <w:r>
        <w:rPr>
          <w:rFonts w:hint="eastAsia" w:ascii="宋体" w:hAnsi="宋体"/>
        </w:rPr>
        <w:t xml:space="preserve">大写：</w:t>
      </w:r>
      <w:r>
        <w:rPr>
          <w:rFonts w:hint="eastAsia" w:ascii="宋体" w:hAnsi="宋体"/>
          <w:u w:val="single"/>
        </w:rPr>
        <w:t xml:space="preserve">                   </w:t>
      </w:r>
      <w:r/>
    </w:p>
    <w:p>
      <w:pPr>
        <w:spacing w:line="400" w:lineRule="exact"/>
        <w:rPr>
          <w:rFonts w:ascii="宋体" w:hAnsi="宋体"/>
        </w:rPr>
      </w:pPr>
      <w:r>
        <w:rPr>
          <w:rFonts w:hint="eastAsia" w:ascii="宋体" w:hAnsi="宋体"/>
        </w:rPr>
        <w:t xml:space="preserve">    （注：固定单价合同应填写单价和最高限价）</w:t>
      </w:r>
      <w:r/>
    </w:p>
    <w:p>
      <w:pPr>
        <w:spacing w:line="400" w:lineRule="exact"/>
        <w:rPr>
          <w:rFonts w:ascii="宋体" w:hAnsi="宋体"/>
        </w:rPr>
      </w:pPr>
      <w:r>
        <w:rPr>
          <w:rFonts w:hint="eastAsia" w:ascii="宋体" w:hAnsi="宋体"/>
        </w:rPr>
        <w:t xml:space="preserve">    （2）合同定价方式（采用组合定价方式的，可以勾选多项）：</w:t>
      </w:r>
      <w:r/>
    </w:p>
    <w:p>
      <w:pPr>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991"/>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                    </w:t>
      </w:r>
      <w:r/>
    </w:p>
    <w:p>
      <w:pPr>
        <w:ind w:firstLine="630"/>
        <w:spacing w:line="400" w:lineRule="exact"/>
      </w:pPr>
      <w:r>
        <w:rPr>
          <w:rFonts w:ascii="Wingdings" w:hAnsi="Wingdings" w:eastAsia="Wingdings" w:cs="Wingdings"/>
        </w:rPr>
        <w:t xml:space="preserve">þ</w:t>
      </w:r>
      <w:r>
        <w:rPr>
          <w:rFonts w:hint="eastAsia" w:ascii="宋体" w:hAnsi="宋体"/>
        </w:rPr>
        <w:t xml:space="preserve">分期付款：</w:t>
      </w:r>
      <w:r>
        <w:rPr>
          <w:rFonts w:hint="eastAsia" w:ascii="宋体" w:hAnsi="宋体"/>
          <w:u w:val="single"/>
        </w:rPr>
        <w:t xml:space="preserve">  （合同签订，甲方自收到发票之日起10个工作日内支付30%的预付款；供货结束验收合格后，甲方自收到发票之日起10个工作日内付清尾款。） </w:t>
      </w:r>
      <w:r>
        <w:rPr>
          <w:rFonts w:hint="eastAsia" w:ascii="宋体" w:hAnsi="宋体"/>
        </w:rPr>
        <w:t xml:space="preserve">，其中涉及预付款的：</w:t>
      </w:r>
      <w:r>
        <w:rPr>
          <w:rFonts w:hint="eastAsia" w:ascii="宋体" w:hAnsi="宋体"/>
          <w:u w:val="single"/>
        </w:rPr>
        <w:t xml:space="preserve"> （合同签订，甲方自收到发票之日起10个工作日内付30%的预付款） </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7"/>
        </w:numPr>
        <w:ind w:firstLine="422"/>
        <w:spacing w:line="400" w:lineRule="exact"/>
        <w:rPr>
          <w:rFonts w:ascii="宋体" w:hAnsi="宋体"/>
          <w:b/>
          <w:u w:val="single"/>
        </w:rPr>
      </w:pPr>
      <w:r>
        <w:rPr>
          <w:rFonts w:hint="eastAsia" w:ascii="宋体" w:hAnsi="宋体"/>
          <w:b/>
        </w:rPr>
        <w:t xml:space="preserve">合同履行</w:t>
      </w:r>
      <w:r/>
    </w:p>
    <w:p>
      <w:pPr>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ascii="宋体" w:hAnsi="宋体" w:cs="宋体"/>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p>
    <w:p>
      <w:pPr>
        <w:pStyle w:val="1097"/>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097"/>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p>
    <w:p>
      <w:pPr>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7"/>
        </w:numPr>
        <w:ind w:firstLine="422"/>
        <w:spacing w:line="400" w:lineRule="exact"/>
        <w:rPr>
          <w:rFonts w:ascii="宋体" w:hAnsi="宋体"/>
          <w:b/>
        </w:rPr>
      </w:pPr>
      <w:r>
        <w:rPr>
          <w:rFonts w:hint="eastAsia" w:ascii="宋体" w:hAnsi="宋体"/>
          <w:b/>
        </w:rPr>
        <w:t xml:space="preserve">合同验收</w:t>
      </w:r>
      <w:r/>
    </w:p>
    <w:p>
      <w:pPr>
        <w:numPr>
          <w:ilvl w:val="0"/>
          <w:numId w:val="9"/>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525"/>
        <w:spacing w:line="400" w:lineRule="exact"/>
        <w:rPr>
          <w:rFonts w:ascii="宋体" w:hAnsi="宋体"/>
          <w:bCs/>
        </w:rPr>
      </w:pPr>
      <w:r>
        <w:rPr>
          <w:rFonts w:ascii="Wingdings" w:hAnsi="Wingdings" w:eastAsia="Wingdings" w:cs="Wingdings"/>
        </w:rPr>
        <w:t xml:space="preserve">¨</w:t>
      </w:r>
      <w:r>
        <w:rPr>
          <w:rFonts w:hint="eastAsia" w:ascii="宋体" w:hAnsi="宋体"/>
          <w:bCs/>
        </w:rPr>
        <w:t xml:space="preserve">否</w:t>
      </w:r>
      <w:r/>
    </w:p>
    <w:p>
      <w:pPr>
        <w:ind w:firstLine="525"/>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109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7"/>
        </w:numPr>
        <w:ind w:firstLine="422"/>
        <w:spacing w:line="400" w:lineRule="exact"/>
        <w:rPr>
          <w:rFonts w:ascii="宋体" w:hAnsi="宋体"/>
          <w:b/>
        </w:rPr>
      </w:pPr>
      <w:r>
        <w:rPr>
          <w:rFonts w:hint="eastAsia" w:ascii="宋体" w:hAnsi="宋体"/>
          <w:b/>
        </w:rPr>
        <w:t xml:space="preserve">组成合同的文件</w:t>
      </w:r>
      <w:r/>
    </w:p>
    <w:p>
      <w:pPr>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ascii="宋体" w:hAnsi="宋体"/>
        </w:rPr>
      </w:pPr>
      <w:r>
        <w:rPr>
          <w:rFonts w:hint="eastAsia" w:ascii="宋体" w:hAnsi="宋体"/>
        </w:rPr>
        <w:t xml:space="preserve">（1）政府采购合同协议书及其变更、补充协议</w:t>
      </w:r>
      <w:r/>
    </w:p>
    <w:p>
      <w:pPr>
        <w:ind w:firstLine="420"/>
        <w:spacing w:line="400" w:lineRule="exact"/>
        <w:rPr>
          <w:rFonts w:ascii="宋体" w:hAnsi="宋体"/>
        </w:rPr>
      </w:pPr>
      <w:r>
        <w:rPr>
          <w:rFonts w:hint="eastAsia" w:ascii="宋体" w:hAnsi="宋体"/>
        </w:rPr>
        <w:t xml:space="preserve">（2）政府采购合同专用条款</w:t>
      </w:r>
      <w:r/>
    </w:p>
    <w:p>
      <w:pPr>
        <w:ind w:firstLine="420"/>
        <w:spacing w:line="400" w:lineRule="exact"/>
        <w:rPr>
          <w:rFonts w:ascii="宋体" w:hAnsi="宋体"/>
        </w:rPr>
      </w:pPr>
      <w:r>
        <w:rPr>
          <w:rFonts w:hint="eastAsia" w:ascii="宋体" w:hAnsi="宋体"/>
        </w:rPr>
        <w:t xml:space="preserve">（3）政府采购合同通用条款</w:t>
      </w:r>
      <w:r/>
    </w:p>
    <w:p>
      <w:pPr>
        <w:ind w:firstLine="420"/>
        <w:spacing w:line="400" w:lineRule="exact"/>
        <w:rPr>
          <w:rFonts w:ascii="宋体" w:hAnsi="宋体"/>
        </w:rPr>
      </w:pPr>
      <w:r>
        <w:rPr>
          <w:rFonts w:hint="eastAsia" w:ascii="宋体" w:hAnsi="宋体"/>
        </w:rPr>
        <w:t xml:space="preserve">（4）中标（成交）通知书</w:t>
      </w:r>
      <w:r/>
    </w:p>
    <w:p>
      <w:pPr>
        <w:ind w:firstLine="420"/>
        <w:spacing w:line="400" w:lineRule="exact"/>
        <w:rPr>
          <w:rFonts w:ascii="宋体" w:hAnsi="宋体"/>
        </w:rPr>
      </w:pPr>
      <w:r>
        <w:rPr>
          <w:rFonts w:hint="eastAsia" w:ascii="宋体" w:hAnsi="宋体"/>
        </w:rPr>
        <w:t xml:space="preserve">（5）投标（响应）文件</w:t>
      </w:r>
      <w:r/>
    </w:p>
    <w:p>
      <w:pPr>
        <w:ind w:firstLine="420"/>
        <w:spacing w:line="400" w:lineRule="exact"/>
        <w:rPr>
          <w:rFonts w:ascii="宋体" w:hAnsi="宋体"/>
        </w:rPr>
      </w:pPr>
      <w:r>
        <w:rPr>
          <w:rFonts w:hint="eastAsia" w:ascii="宋体" w:hAnsi="宋体"/>
        </w:rPr>
        <w:t xml:space="preserve">（6）采购文件</w:t>
      </w:r>
      <w:r/>
    </w:p>
    <w:p>
      <w:pPr>
        <w:ind w:firstLine="420"/>
        <w:spacing w:line="400" w:lineRule="exact"/>
        <w:rPr>
          <w:rFonts w:ascii="宋体" w:hAnsi="宋体"/>
        </w:rPr>
      </w:pPr>
      <w:r>
        <w:rPr>
          <w:rFonts w:hint="eastAsia" w:ascii="宋体" w:hAnsi="宋体"/>
        </w:rPr>
        <w:t xml:space="preserve">（7）有关技术文件，图纸</w:t>
      </w:r>
      <w:r/>
    </w:p>
    <w:p>
      <w:pPr>
        <w:pStyle w:val="109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7"/>
        </w:numPr>
        <w:ind w:firstLine="422"/>
        <w:spacing w:line="400" w:lineRule="exact"/>
        <w:rPr>
          <w:rFonts w:ascii="宋体" w:hAnsi="宋体"/>
          <w:b/>
        </w:rPr>
      </w:pPr>
      <w:r>
        <w:rPr>
          <w:rFonts w:hint="eastAsia" w:ascii="宋体" w:hAnsi="宋体"/>
          <w:b/>
        </w:rPr>
        <w:t xml:space="preserve">合同生效</w:t>
      </w:r>
      <w:r/>
    </w:p>
    <w:p>
      <w:pPr>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7"/>
        </w:numPr>
        <w:ind w:firstLine="422"/>
        <w:spacing w:line="400" w:lineRule="exact"/>
        <w:rPr>
          <w:rFonts w:ascii="宋体" w:hAnsi="宋体"/>
          <w:b/>
        </w:rPr>
      </w:pPr>
      <w:r>
        <w:rPr>
          <w:rFonts w:hint="eastAsia" w:ascii="宋体" w:hAnsi="宋体"/>
          <w:b/>
        </w:rPr>
        <w:t xml:space="preserve">合同份数</w:t>
      </w:r>
      <w:r/>
    </w:p>
    <w:p>
      <w:pPr>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pPr>
      <w:r>
        <w:rPr>
          <w:rFonts w:hint="eastAsia" w:ascii="宋体" w:hAnsi="宋体"/>
        </w:rPr>
        <w:t xml:space="preserve">附件：具体标的及其技术要求和商务要求、联合协议、分包意向协议等</w:t>
      </w:r>
      <w:r/>
    </w:p>
    <w:p>
      <w:pPr>
        <w:pStyle w:val="752"/>
        <w:spacing w:line="400" w:lineRule="exact"/>
        <w:rPr>
          <w:rFonts w:ascii="宋体" w:hAnsi="宋体"/>
          <w:sz w:val="21"/>
        </w:rPr>
      </w:pPr>
      <w:r>
        <w:rPr>
          <w:lang w:val="en"/>
        </w:rPr>
        <w:t xml:space="preserve">   </w:t>
      </w:r>
      <w:r/>
    </w:p>
    <w:p>
      <w:pPr>
        <w:pStyle w:val="991"/>
        <w:rPr>
          <w:lang w:eastAsia="zh-CN"/>
        </w:rPr>
      </w:pPr>
      <w:r>
        <w:rPr>
          <w:lang w:eastAsia="zh-CN"/>
        </w:rPr>
      </w:r>
      <w:r/>
    </w:p>
    <w:tbl>
      <w:tblPr>
        <w:tblStyle w:val="76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t xml:space="preserve">甲方</w:t>
            </w:r>
            <w:r>
              <w:rPr>
                <w:rFonts w:hint="eastAsia"/>
              </w:rPr>
              <w:t xml:space="preserve">（采购人</w:t>
            </w:r>
            <w:r>
              <w:rPr>
                <w:rFonts w:hint="eastAsia" w:ascii="宋体" w:hAnsi="宋体"/>
              </w:rPr>
              <w:t xml:space="preserve">、受采购人委托签订合同的单位或</w:t>
            </w:r>
            <w:r>
              <w:rPr>
                <w:rFonts w:hint="eastAsia"/>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t xml:space="preserve">乙方</w:t>
            </w:r>
            <w:r>
              <w:rPr>
                <w:rFonts w:hint="eastAsia"/>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pPr>
            <w:r>
              <w:t xml:space="preserve">法定代表人</w:t>
            </w:r>
            <w:r/>
          </w:p>
          <w:p>
            <w:pPr>
              <w:ind w:firstLine="100"/>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p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pPr>
            <w:r>
              <w:t xml:space="preserve">法定代表人</w:t>
            </w:r>
            <w:r/>
          </w:p>
          <w:p>
            <w:pPr>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p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p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pPr>
            <w: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rPr>
            </w:pPr>
            <w:r>
              <w:rPr>
                <w:spacing w:val="20"/>
              </w:rPr>
            </w:r>
            <w:r/>
          </w:p>
        </w:tc>
      </w:tr>
      <w:tr>
        <w:trPr>
          <w:trHeight w:val="586"/>
        </w:trPr>
        <w:tc>
          <w:tcPr>
            <w:gridSpan w:val="4"/>
            <w:tcBorders>
              <w:top w:val="single" w:color="auto" w:sz="2" w:space="0"/>
            </w:tcBorders>
            <w:tcW w:w="5000" w:type="pct"/>
            <w:vAlign w:val="center"/>
            <w:textDirection w:val="lrTb"/>
            <w:noWrap w:val="false"/>
          </w:tcPr>
          <w:p>
            <w:pPr>
              <w:pStyle w:val="766"/>
              <w:ind w:left="0"/>
              <w:jc w:val="left"/>
              <w:spacing w:before="120" w:after="0" w:line="360" w:lineRule="auto"/>
              <w:rPr>
                <w:spacing w:val="20"/>
              </w:rPr>
            </w:pPr>
            <w:r>
              <w:rPr>
                <w:rFonts w:hint="eastAsia" w:ascii="宋体" w:hAnsi="宋体"/>
              </w:rPr>
              <w:t xml:space="preserve">注：涉及联合体或其他合同主体的信息应按上表格式加列。</w:t>
            </w:r>
            <w:r/>
          </w:p>
        </w:tc>
      </w:tr>
    </w:tbl>
    <w:p>
      <w:pPr>
        <w:pStyle w:val="752"/>
        <w:spacing w:before="120"/>
        <w:rPr>
          <w:rFonts w:ascii="黑体" w:hAnsi="黑体" w:eastAsia="黑体"/>
          <w:sz w:val="28"/>
          <w:szCs w:val="28"/>
        </w:rPr>
      </w:pPr>
      <w:r>
        <w:br w:type="page" w:clear="all"/>
      </w: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rPr>
      </w:pPr>
      <w:r>
        <w:rPr>
          <w:rFonts w:hint="eastAsia" w:ascii="宋体" w:hAnsi="宋体"/>
          <w:color w:val="000000"/>
        </w:rPr>
        <w:t xml:space="preserve">1.1合同当事人</w:t>
      </w:r>
      <w:r/>
    </w:p>
    <w:p>
      <w:pPr>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p>
    <w:p>
      <w:pPr>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10"/>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3</w:t>
      </w:r>
      <w:r>
        <w:rPr>
          <w:rFonts w:hint="eastAsia" w:ascii="宋体" w:hAnsi="宋体"/>
          <w:color w:val="000000"/>
        </w:rPr>
        <w:t xml:space="preserve">乙方有权根据合同约定向甲方收取合同价款。</w:t>
      </w:r>
      <w:r/>
    </w:p>
    <w:p>
      <w:pPr>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4</w:t>
      </w:r>
      <w:r>
        <w:rPr>
          <w:rFonts w:hint="eastAsia" w:ascii="宋体" w:hAnsi="宋体"/>
          <w:color w:val="000000"/>
        </w:rPr>
        <w:t xml:space="preserve">国家法律法规规定及</w:t>
      </w:r>
      <w:r>
        <w:rPr>
          <w:rFonts w:hint="eastAsia" w:ascii="宋体" w:hAnsi="宋体"/>
          <w:b/>
          <w:color w:val="000000"/>
        </w:rPr>
        <w:t xml:space="preserve">【政府采购合同专用条款】</w:t>
      </w:r>
      <w:r>
        <w:rPr>
          <w:rFonts w:hint="eastAsia" w:ascii="宋体" w:hAnsi="宋体"/>
          <w:color w:val="000000"/>
        </w:rPr>
        <w:t xml:space="preserve">约定应由乙方承担的其他义务和责任。</w:t>
      </w:r>
      <w:r/>
    </w:p>
    <w:p>
      <w:pPr>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1097"/>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71"/>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1"/>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rPr>
      </w:pPr>
      <w:r>
        <w:rPr>
          <w:rFonts w:hint="eastAsia" w:ascii="宋体" w:hAnsi="宋体"/>
        </w:rPr>
        <w:t xml:space="preserve">8.2 保证</w:t>
      </w:r>
      <w:r/>
    </w:p>
    <w:p>
      <w:pPr>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p>
    <w:p>
      <w:pPr>
        <w:ind w:firstLine="420"/>
        <w:jc w:val="left"/>
        <w:spacing w:line="400" w:lineRule="exact"/>
        <w:rPr>
          <w:rFonts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rPr>
        <w:t xml:space="preserve">政府采购合同专用条款</w:t>
      </w:r>
      <w:r>
        <w:rPr>
          <w:rFonts w:hint="eastAsia" w:ascii="宋体" w:hAnsi="宋体"/>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ascii="宋体" w:hAnsi="宋体"/>
        </w:rPr>
      </w:pPr>
      <w:r>
        <w:rPr>
          <w:rFonts w:hint="eastAsia" w:ascii="宋体" w:hAnsi="宋体"/>
        </w:rPr>
        <w:t xml:space="preserve">（1）货物的现场移动、安装、调试、启动监督及技术支持；</w:t>
      </w:r>
      <w:r/>
    </w:p>
    <w:p>
      <w:pPr>
        <w:ind w:firstLine="420"/>
        <w:jc w:val="left"/>
        <w:spacing w:line="400" w:lineRule="exact"/>
        <w:rPr>
          <w:rFonts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9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rPr>
      </w:pPr>
      <w:r>
        <w:rPr>
          <w:rFonts w:hint="eastAsia" w:ascii="宋体" w:hAnsi="宋体"/>
          <w:bCs/>
        </w:rPr>
        <w:t xml:space="preserve">15.1质量瑕疵的违约责任</w:t>
      </w:r>
      <w:r/>
    </w:p>
    <w:p>
      <w:pPr>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ascii="宋体" w:hAnsi="宋体"/>
          <w:bCs/>
        </w:rPr>
      </w:pPr>
      <w:r>
        <w:rPr>
          <w:rFonts w:hint="eastAsia" w:ascii="宋体" w:hAnsi="宋体"/>
          <w:bCs/>
        </w:rPr>
        <w:t xml:space="preserve">15.2 迟延交货的违约责任</w:t>
      </w:r>
      <w:r/>
    </w:p>
    <w:p>
      <w:pPr>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rPr>
      </w:pPr>
      <w:r>
        <w:rPr>
          <w:rFonts w:hint="eastAsia" w:ascii="宋体" w:hAnsi="宋体"/>
        </w:rPr>
        <w:t xml:space="preserve">15.3 迟延支付的违约责任</w:t>
      </w:r>
      <w:r/>
    </w:p>
    <w:p>
      <w:pPr>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12"/>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rPr>
      </w:pPr>
      <w:r>
        <w:rPr>
          <w:rFonts w:hint="eastAsia" w:ascii="宋体" w:hAnsi="宋体"/>
        </w:rPr>
        <w:t xml:space="preserve">    16.1合同的变更</w:t>
      </w:r>
      <w:r/>
    </w:p>
    <w:p>
      <w:pPr>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rPr>
      </w:pPr>
      <w:r>
        <w:rPr>
          <w:rFonts w:hint="eastAsia" w:ascii="宋体" w:hAnsi="宋体"/>
        </w:rPr>
        <w:t xml:space="preserve">16.2合同的中止</w:t>
      </w:r>
      <w:r/>
    </w:p>
    <w:p>
      <w:pPr>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ascii="宋体" w:hAnsi="宋体"/>
        </w:rPr>
      </w:pPr>
      <w:r>
        <w:rPr>
          <w:rFonts w:hint="eastAsia" w:ascii="宋体" w:hAnsi="宋体"/>
        </w:rPr>
        <w:t xml:space="preserve">16.3合同的终止</w:t>
      </w:r>
      <w:r/>
    </w:p>
    <w:p>
      <w:pPr>
        <w:ind w:firstLine="420"/>
        <w:jc w:val="left"/>
        <w:spacing w:line="400" w:lineRule="exact"/>
        <w:rPr>
          <w:rFonts w:ascii="宋体" w:hAnsi="宋体"/>
        </w:rPr>
      </w:pPr>
      <w:r>
        <w:rPr>
          <w:rFonts w:hint="eastAsia" w:ascii="宋体" w:hAnsi="宋体"/>
        </w:rPr>
        <w:t xml:space="preserve">（1）合同因有效期限届满而终止；</w:t>
      </w:r>
      <w:r/>
    </w:p>
    <w:p>
      <w:pPr>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109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9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9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9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ind w:firstLine="420"/>
        <w:jc w:val="left"/>
        <w:spacing w:line="400" w:lineRule="exact"/>
        <w:rPr>
          <w:rFonts w:ascii="宋体" w:hAnsi="宋体"/>
        </w:rPr>
      </w:pPr>
      <w:r>
        <w:rPr>
          <w:rFonts w:ascii="宋体" w:hAnsi="宋体"/>
        </w:rPr>
        <w:t xml:space="preserve">2</w:t>
      </w:r>
      <w:r>
        <w:rPr>
          <w:rFonts w:hint="eastAsia" w:ascii="宋体" w:hAnsi="宋体"/>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9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9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9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97"/>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p>
    <w:p>
      <w:pPr>
        <w:numPr>
          <w:ilvl w:val="0"/>
          <w:numId w:val="13"/>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ascii="黑体" w:hAnsi="华文中宋" w:eastAsia="黑体"/>
          <w:sz w:val="28"/>
          <w:szCs w:val="28"/>
        </w:rPr>
      </w:pPr>
      <w:r>
        <w:rPr>
          <w:rFonts w:hint="eastAsia" w:ascii="宋体" w:hAnsi="宋体"/>
          <w:bCs/>
        </w:rPr>
        <w:t xml:space="preserve">    23.2 合同附件与合同正文具有同等的法律效力。</w:t>
      </w:r>
      <w:r/>
    </w:p>
    <w:p>
      <w:pPr>
        <w:jc w:val="center"/>
        <w:rPr>
          <w:rFonts w:ascii="黑体" w:hAnsi="华文中宋" w:eastAsia="黑体"/>
          <w:sz w:val="28"/>
          <w:szCs w:val="28"/>
        </w:rPr>
      </w:pPr>
      <w:r>
        <w:br w:type="page" w:clear="all"/>
      </w:r>
      <w:r/>
    </w:p>
    <w:p>
      <w:pPr>
        <w:pStyle w:val="752"/>
        <w:rPr>
          <w:rFonts w:ascii="黑体" w:hAnsi="华文中宋" w:eastAsia="黑体"/>
          <w:sz w:val="28"/>
          <w:szCs w:val="28"/>
        </w:rPr>
      </w:pPr>
      <w:r>
        <w:rPr>
          <w:rFonts w:hint="eastAsia" w:ascii="黑体" w:hAnsi="华文中宋" w:eastAsia="黑体"/>
          <w:sz w:val="28"/>
          <w:szCs w:val="28"/>
        </w:rPr>
        <w:t xml:space="preserve">第三节 政府采购合同专用条款</w:t>
      </w:r>
      <w:r/>
    </w:p>
    <w:tbl>
      <w:tblPr>
        <w:tblStyle w:val="76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第1.2（6）项</w:t>
            </w:r>
            <w:r/>
          </w:p>
        </w:tc>
        <w:tc>
          <w:tcPr>
            <w:tcW w:w="1742" w:type="dxa"/>
            <w:vAlign w:val="center"/>
            <w:textDirection w:val="lrTb"/>
            <w:noWrap w:val="false"/>
          </w:tcPr>
          <w:p>
            <w:pPr>
              <w:jc w:val="left"/>
              <w:rPr>
                <w:rFonts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ascii="宋体" w:hAnsi="宋体"/>
              </w:rPr>
            </w:pPr>
            <w:r>
              <w:rPr>
                <w:rFonts w:ascii="宋体" w:hAnsi="宋体"/>
              </w:rPr>
            </w:r>
            <w:r/>
          </w:p>
        </w:tc>
      </w:tr>
      <w:tr>
        <w:trPr>
          <w:trHeight w:val="60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第1.2（7）项</w:t>
            </w:r>
            <w:r/>
          </w:p>
        </w:tc>
        <w:tc>
          <w:tcPr>
            <w:tcW w:w="1742" w:type="dxa"/>
            <w:vAlign w:val="center"/>
            <w:textDirection w:val="lrTb"/>
            <w:noWrap w:val="false"/>
          </w:tcPr>
          <w:p>
            <w:pPr>
              <w:jc w:val="left"/>
              <w:rPr>
                <w:rFonts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第4.4款</w:t>
            </w:r>
            <w:r/>
          </w:p>
        </w:tc>
        <w:tc>
          <w:tcPr>
            <w:tcW w:w="1742" w:type="dxa"/>
            <w:vAlign w:val="center"/>
            <w:textDirection w:val="lrTb"/>
            <w:noWrap w:val="false"/>
          </w:tcPr>
          <w:p>
            <w:pPr>
              <w:jc w:val="left"/>
              <w:rPr>
                <w:rFonts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第4.6款</w:t>
            </w:r>
            <w:r/>
          </w:p>
        </w:tc>
        <w:tc>
          <w:tcPr>
            <w:tcW w:w="1742" w:type="dxa"/>
            <w:vAlign w:val="center"/>
            <w:textDirection w:val="lrTb"/>
            <w:noWrap w:val="false"/>
          </w:tcPr>
          <w:p>
            <w:pPr>
              <w:jc w:val="left"/>
              <w:rPr>
                <w:rFonts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第6.1款</w:t>
            </w:r>
            <w:r/>
          </w:p>
        </w:tc>
        <w:tc>
          <w:tcPr>
            <w:tcW w:w="1742" w:type="dxa"/>
            <w:vAlign w:val="center"/>
            <w:textDirection w:val="lrTb"/>
            <w:noWrap w:val="false"/>
          </w:tcPr>
          <w:p>
            <w:pPr>
              <w:jc w:val="left"/>
              <w:rPr>
                <w:rFonts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第7.1款</w:t>
            </w:r>
            <w:r/>
          </w:p>
        </w:tc>
        <w:tc>
          <w:tcPr>
            <w:tcW w:w="1742" w:type="dxa"/>
            <w:vAlign w:val="center"/>
            <w:textDirection w:val="lrTb"/>
            <w:noWrap w:val="false"/>
          </w:tcPr>
          <w:p>
            <w:pPr>
              <w:jc w:val="left"/>
              <w:rPr>
                <w:rFonts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rPr>
            </w:pPr>
            <w:r>
              <w:rPr>
                <w:rFonts w:ascii="宋体" w:hAnsi="宋体"/>
              </w:rPr>
            </w:r>
            <w:r/>
          </w:p>
        </w:tc>
        <w:tc>
          <w:tcPr>
            <w:tcW w:w="1742" w:type="dxa"/>
            <w:vAlign w:val="center"/>
            <w:textDirection w:val="lrTb"/>
            <w:noWrap w:val="false"/>
          </w:tcPr>
          <w:p>
            <w:pPr>
              <w:jc w:val="left"/>
              <w:rPr>
                <w:rFonts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第7.2款</w:t>
            </w:r>
            <w:r/>
          </w:p>
        </w:tc>
        <w:tc>
          <w:tcPr>
            <w:tcW w:w="1742" w:type="dxa"/>
            <w:vAlign w:val="center"/>
            <w:textDirection w:val="lrTb"/>
            <w:noWrap w:val="false"/>
          </w:tcPr>
          <w:p>
            <w:pPr>
              <w:jc w:val="left"/>
              <w:rPr>
                <w:rFonts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第7.3款</w:t>
            </w:r>
            <w:r/>
          </w:p>
        </w:tc>
        <w:tc>
          <w:tcPr>
            <w:tcW w:w="1742" w:type="dxa"/>
            <w:vAlign w:val="center"/>
            <w:textDirection w:val="lrTb"/>
            <w:noWrap w:val="false"/>
          </w:tcPr>
          <w:p>
            <w:pPr>
              <w:jc w:val="left"/>
              <w:rPr>
                <w:rFonts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第8.2（1）项</w:t>
            </w:r>
            <w:r/>
          </w:p>
        </w:tc>
        <w:tc>
          <w:tcPr>
            <w:tcW w:w="1742" w:type="dxa"/>
            <w:vAlign w:val="center"/>
            <w:textDirection w:val="lrTb"/>
            <w:noWrap w:val="false"/>
          </w:tcPr>
          <w:p>
            <w:pPr>
              <w:jc w:val="left"/>
              <w:rPr>
                <w:rFonts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第8.2（3）项</w:t>
            </w:r>
            <w:r/>
          </w:p>
        </w:tc>
        <w:tc>
          <w:tcPr>
            <w:tcW w:w="1742" w:type="dxa"/>
            <w:vAlign w:val="center"/>
            <w:textDirection w:val="lrTb"/>
            <w:noWrap w:val="false"/>
          </w:tcPr>
          <w:p>
            <w:pPr>
              <w:jc w:val="left"/>
              <w:rPr>
                <w:rFonts w:ascii="宋体" w:hAnsi="宋体"/>
              </w:rPr>
            </w:pPr>
            <w:r>
              <w:rPr>
                <w:rFonts w:hint="eastAsia" w:ascii="宋体" w:hAnsi="宋体"/>
              </w:rPr>
              <w:t xml:space="preserve">货物质量缺陷</w:t>
            </w:r>
            <w:r/>
          </w:p>
          <w:p>
            <w:pPr>
              <w:jc w:val="left"/>
              <w:rPr>
                <w:rFonts w:ascii="宋体" w:hAnsi="宋体"/>
              </w:rPr>
            </w:pPr>
            <w:r>
              <w:rPr>
                <w:rFonts w:hint="eastAsia" w:ascii="宋体" w:hAnsi="宋体"/>
              </w:rPr>
              <w:t xml:space="preserve">响应时间</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cs="宋体"/>
              </w:rPr>
            </w:pPr>
            <w:r>
              <w:rPr>
                <w:rFonts w:hint="eastAsia" w:ascii="宋体" w:hAnsi="宋体" w:cs="宋体"/>
              </w:rPr>
              <w:t xml:space="preserve">第二节</w:t>
            </w:r>
            <w:r/>
          </w:p>
          <w:p>
            <w:pPr>
              <w:pStyle w:val="1097"/>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第12.2款</w:t>
            </w:r>
            <w:r/>
          </w:p>
        </w:tc>
        <w:tc>
          <w:tcPr>
            <w:tcW w:w="1742" w:type="dxa"/>
            <w:vAlign w:val="center"/>
            <w:textDirection w:val="lrTb"/>
            <w:noWrap w:val="false"/>
          </w:tcPr>
          <w:p>
            <w:pPr>
              <w:jc w:val="left"/>
              <w:rPr>
                <w:rFonts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ascii="宋体" w:hAnsi="宋体"/>
              </w:rPr>
            </w:pPr>
            <w:r>
              <w:rPr>
                <w:rFonts w:ascii="宋体" w:hAnsi="宋体"/>
              </w:rPr>
            </w:r>
            <w:r/>
          </w:p>
        </w:tc>
      </w:tr>
      <w:tr>
        <w:trPr>
          <w:trHeight w:val="697"/>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第13.2款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第13.3款</w:t>
            </w:r>
            <w:r/>
          </w:p>
        </w:tc>
        <w:tc>
          <w:tcPr>
            <w:tcW w:w="1742" w:type="dxa"/>
            <w:vAlign w:val="center"/>
            <w:textDirection w:val="lrTb"/>
            <w:noWrap w:val="false"/>
          </w:tcPr>
          <w:p>
            <w:pPr>
              <w:jc w:val="left"/>
              <w:rPr>
                <w:rFonts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第14.1（3）项</w:t>
            </w:r>
            <w:r/>
          </w:p>
        </w:tc>
        <w:tc>
          <w:tcPr>
            <w:tcW w:w="1742" w:type="dxa"/>
            <w:vAlign w:val="center"/>
            <w:textDirection w:val="lrTb"/>
            <w:noWrap w:val="false"/>
          </w:tcPr>
          <w:p>
            <w:pPr>
              <w:jc w:val="left"/>
              <w:rPr>
                <w:rFonts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ascii="宋体" w:hAnsi="宋体"/>
              </w:rPr>
            </w:pPr>
            <w:r>
              <w:rPr>
                <w:rFonts w:ascii="宋体" w:hAnsi="宋体"/>
              </w:rPr>
            </w:r>
            <w:r/>
          </w:p>
        </w:tc>
      </w:tr>
      <w:tr>
        <w:trPr>
          <w:trHeight w:val="784"/>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第14.1（5）项</w:t>
            </w:r>
            <w:r/>
          </w:p>
        </w:tc>
        <w:tc>
          <w:tcPr>
            <w:tcW w:w="1742" w:type="dxa"/>
            <w:vAlign w:val="center"/>
            <w:textDirection w:val="lrTb"/>
            <w:noWrap w:val="false"/>
          </w:tcPr>
          <w:p>
            <w:pPr>
              <w:jc w:val="left"/>
              <w:rPr>
                <w:rFonts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第14.1（6）项</w:t>
            </w:r>
            <w:r/>
          </w:p>
        </w:tc>
        <w:tc>
          <w:tcPr>
            <w:tcW w:w="1742" w:type="dxa"/>
            <w:vAlign w:val="center"/>
            <w:textDirection w:val="lrTb"/>
            <w:noWrap w:val="false"/>
          </w:tcPr>
          <w:p>
            <w:pPr>
              <w:jc w:val="left"/>
              <w:rPr>
                <w:rFonts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第15.1款</w:t>
            </w:r>
            <w:r/>
          </w:p>
        </w:tc>
        <w:tc>
          <w:tcPr>
            <w:tcW w:w="1742" w:type="dxa"/>
            <w:vAlign w:val="center"/>
            <w:textDirection w:val="lrTb"/>
            <w:noWrap w:val="false"/>
          </w:tcPr>
          <w:p>
            <w:pPr>
              <w:jc w:val="left"/>
              <w:rPr>
                <w:rFonts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ascii="宋体" w:hAnsi="宋体"/>
              </w:rPr>
            </w:pPr>
            <w:r>
              <w:rPr>
                <w:rFonts w:ascii="宋体" w:hAnsi="宋体"/>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第15.2（2）项</w:t>
            </w:r>
            <w:r/>
          </w:p>
        </w:tc>
        <w:tc>
          <w:tcPr>
            <w:tcW w:w="1742" w:type="dxa"/>
            <w:vAlign w:val="center"/>
            <w:textDirection w:val="lrTb"/>
            <w:noWrap w:val="false"/>
          </w:tcPr>
          <w:p>
            <w:pPr>
              <w:jc w:val="left"/>
              <w:rPr>
                <w:rFonts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第15.3款</w:t>
            </w:r>
            <w:r/>
          </w:p>
        </w:tc>
        <w:tc>
          <w:tcPr>
            <w:tcW w:w="1742" w:type="dxa"/>
            <w:vAlign w:val="center"/>
            <w:textDirection w:val="lrTb"/>
            <w:noWrap w:val="false"/>
          </w:tcPr>
          <w:p>
            <w:pPr>
              <w:jc w:val="left"/>
              <w:rPr>
                <w:rFonts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ascii="宋体" w:hAnsi="宋体"/>
                <w:u w:val="single"/>
              </w:rPr>
            </w:pPr>
            <w:r>
              <w:rPr>
                <w:rFonts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u w:val="single"/>
              </w:rPr>
            </w:pPr>
            <w:r>
              <w:rPr>
                <w:rFonts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ascii="宋体" w:hAnsi="宋体"/>
              </w:rPr>
            </w:pPr>
            <w:r>
              <w:rPr>
                <w:rFonts w:hint="eastAsia" w:ascii="宋体" w:hAnsi="宋体"/>
              </w:rPr>
              <w:t xml:space="preserve">第二节</w:t>
            </w:r>
            <w:r/>
          </w:p>
          <w:p>
            <w:pPr>
              <w:jc w:val="center"/>
              <w:rPr>
                <w:rFonts w:ascii="宋体" w:hAnsi="宋体"/>
              </w:rPr>
            </w:pPr>
            <w:r>
              <w:rPr>
                <w:rFonts w:hint="eastAsia" w:ascii="宋体" w:hAnsi="宋体"/>
              </w:rPr>
              <w:t xml:space="preserve">第23.1款</w:t>
            </w:r>
            <w:r/>
          </w:p>
        </w:tc>
        <w:tc>
          <w:tcPr>
            <w:tcW w:w="1742" w:type="dxa"/>
            <w:vAlign w:val="center"/>
            <w:textDirection w:val="lrTb"/>
            <w:noWrap w:val="false"/>
          </w:tcPr>
          <w:p>
            <w:pPr>
              <w:jc w:val="left"/>
              <w:rPr>
                <w:rFonts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ascii="宋体" w:hAnsi="宋体"/>
              </w:rPr>
            </w:pPr>
            <w:r>
              <w:rPr>
                <w:rFonts w:ascii="宋体" w:hAnsi="宋体"/>
              </w:rPr>
            </w:r>
            <w:r/>
          </w:p>
        </w:tc>
      </w:tr>
    </w:tbl>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76"/>
      </w:pPr>
      <w:r>
        <w:rPr>
          <w:rFonts w:ascii="黑体" w:hAnsi="黑体" w:cs="黑体"/>
          <w:color w:val="000000"/>
        </w:rPr>
        <w:t xml:space="preserve">第四章 采购需求</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一、项目属性:货物类项目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 </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
          <w:bCs/>
          <w:i/>
          <w:iCs/>
          <w:color w:val="ff0000"/>
          <w:sz w:val="24"/>
          <w:u w:val="single"/>
        </w:rPr>
        <w:t xml:space="preserve">工作站</w:t>
      </w:r>
      <w:r>
        <w:rPr>
          <w:rFonts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2. </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采购标的清单</w:t>
      </w:r>
      <w:r/>
    </w:p>
    <w:tbl>
      <w:tblPr>
        <w:tblStyle w:val="78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5043"/>
        <w:gridCol w:w="20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扬州市住房和城乡建设局扬州海绵城市气象监测预警服务保障系统</w:t>
            </w: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工业</w:t>
            </w:r>
            <w:r/>
          </w:p>
        </w:tc>
      </w:tr>
    </w:tbl>
    <w:p>
      <w:pPr>
        <w:ind w:firstLine="480"/>
        <w:pBdr>
          <w:top w:val="none" w:color="000000" w:sz="0" w:space="0"/>
          <w:left w:val="none" w:color="000000" w:sz="0" w:space="0"/>
          <w:bottom w:val="none" w:color="000000" w:sz="0" w:space="0"/>
          <w:right w:val="none" w:color="000000" w:sz="0" w:space="0"/>
        </w:pBdr>
      </w:pPr>
      <w:r/>
      <w:r/>
    </w:p>
    <w:p>
      <w:pPr>
        <w:ind w:firstLine="48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4．核心产品</w:t>
      </w:r>
      <w:r/>
    </w:p>
    <w:tbl>
      <w:tblPr>
        <w:tblStyle w:val="78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7"/>
        <w:gridCol w:w="70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7" w:type="dxa"/>
            <w:textDirection w:val="lrTb"/>
            <w:noWrap w:val="false"/>
          </w:tcPr>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1" w:type="dxa"/>
            <w:textDirection w:val="lrTb"/>
            <w:noWrap w:val="false"/>
          </w:tcPr>
          <w:p>
            <w:pPr>
              <w:jc w:val="cente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7" w:type="dxa"/>
            <w:textDirection w:val="lrTb"/>
            <w:noWrap w:val="false"/>
          </w:tcPr>
          <w:p>
            <w:pPr>
              <w:jc w:val="cente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1" w:type="dxa"/>
            <w:textDirection w:val="lrTb"/>
            <w:noWrap w:val="false"/>
          </w:tcPr>
          <w:p>
            <w:pPr>
              <w:jc w:val="cente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国家站综合观测系统</w:t>
            </w:r>
            <w:r/>
          </w:p>
        </w:tc>
      </w:tr>
    </w:tbl>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二、技术要求</w:t>
      </w:r>
      <w:r/>
    </w:p>
    <w:p>
      <w:pPr>
        <w:ind w:firstLine="482"/>
        <w:jc w:val="left"/>
        <w:widowControl/>
        <w:rPr>
          <w:rFonts w:ascii="宋体" w:hAnsi="宋体" w:cs="宋体"/>
          <w:b/>
          <w:bCs/>
          <w:sz w:val="24"/>
          <w:szCs w:val="24"/>
        </w:rPr>
      </w:pPr>
      <w:r>
        <w:rPr>
          <w:rFonts w:hint="eastAsia" w:ascii="宋体" w:hAnsi="宋体" w:cs="宋体"/>
          <w:b/>
          <w:bCs/>
          <w:sz w:val="24"/>
          <w:szCs w:val="24"/>
        </w:rPr>
        <w:t xml:space="preserve">1、项目简介</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近年来，台风、江淮气旋等引发的极端强降水在扬州频发且强度屡破纪录，给城市防汛排涝带来巨大压力。为</w:t>
      </w:r>
      <w:r>
        <w:rPr>
          <w:rFonts w:hint="eastAsia" w:ascii="宋体" w:hAnsi="宋体" w:cs="宋体"/>
          <w:sz w:val="24"/>
          <w:szCs w:val="24"/>
        </w:rPr>
        <w:t xml:space="preserve">强化</w:t>
      </w:r>
      <w:r>
        <w:rPr>
          <w:rFonts w:ascii="宋体" w:hAnsi="宋体" w:cs="宋体"/>
          <w:sz w:val="24"/>
          <w:szCs w:val="24"/>
        </w:rPr>
        <w:t xml:space="preserve">城市极端暴雨防御工作，补齐灾害天气监测预警短板，提升协同应对城市洪涝的能力</w:t>
      </w:r>
      <w:r>
        <w:rPr>
          <w:rFonts w:ascii="宋体" w:hAnsi="宋体" w:cs="宋体"/>
          <w:color w:val="auto"/>
          <w:sz w:val="24"/>
          <w:szCs w:val="24"/>
        </w:rPr>
        <w:t xml:space="preserve">，市</w:t>
      </w:r>
      <w:r>
        <w:rPr>
          <w:rFonts w:hint="eastAsia" w:ascii="宋体" w:hAnsi="宋体" w:cs="宋体"/>
          <w:color w:val="auto"/>
          <w:sz w:val="24"/>
          <w:szCs w:val="24"/>
          <w:lang w:val="en-US" w:eastAsia="zh-CN"/>
        </w:rPr>
        <w:t xml:space="preserve">住建局</w:t>
      </w:r>
      <w:r>
        <w:rPr>
          <w:rFonts w:ascii="宋体" w:hAnsi="宋体" w:cs="宋体"/>
          <w:color w:val="auto"/>
          <w:sz w:val="24"/>
          <w:szCs w:val="24"/>
        </w:rPr>
        <w:t xml:space="preserve">联合气象局、</w:t>
      </w:r>
      <w:r>
        <w:rPr>
          <w:rFonts w:hint="eastAsia" w:ascii="宋体" w:hAnsi="宋体" w:cs="宋体"/>
          <w:color w:val="auto"/>
          <w:sz w:val="24"/>
          <w:szCs w:val="24"/>
          <w:lang w:val="en-US" w:eastAsia="zh-CN"/>
        </w:rPr>
        <w:t xml:space="preserve">水利</w:t>
      </w:r>
      <w:r>
        <w:rPr>
          <w:rFonts w:ascii="宋体" w:hAnsi="宋体" w:cs="宋体"/>
          <w:sz w:val="24"/>
          <w:szCs w:val="24"/>
        </w:rPr>
        <w:t xml:space="preserve">等部门</w:t>
      </w:r>
      <w:r>
        <w:rPr>
          <w:rFonts w:hint="eastAsia" w:ascii="宋体" w:hAnsi="宋体" w:cs="宋体"/>
          <w:sz w:val="24"/>
          <w:szCs w:val="24"/>
        </w:rPr>
        <w:t xml:space="preserve">建设</w:t>
      </w:r>
      <w:r>
        <w:rPr>
          <w:rFonts w:hint="eastAsia" w:ascii="宋体" w:hAnsi="宋体" w:cs="宋体"/>
          <w:sz w:val="24"/>
          <w:szCs w:val="24"/>
          <w:lang w:eastAsia="zh-CN"/>
        </w:rPr>
        <w:t xml:space="preserve">扬州市住房和城乡建设局扬州海绵城市气象监测预警服务保障系统</w:t>
      </w:r>
      <w:r>
        <w:rPr>
          <w:rFonts w:ascii="宋体" w:hAnsi="宋体" w:cs="宋体"/>
          <w:sz w:val="24"/>
          <w:szCs w:val="24"/>
        </w:rPr>
        <w:t xml:space="preserve">项目。</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项目聚焦扬州主城区暴雨灾害监测预警能力不足、易积水点雨量观测滞后、部门信息共享不充分等核心问题</w:t>
      </w:r>
      <w:r>
        <w:rPr>
          <w:rFonts w:hint="eastAsia" w:ascii="宋体" w:hAnsi="宋体" w:cs="宋体"/>
          <w:sz w:val="24"/>
          <w:szCs w:val="24"/>
        </w:rPr>
        <w:t xml:space="preserve">。</w:t>
      </w:r>
      <w:r>
        <w:rPr>
          <w:rFonts w:ascii="宋体" w:hAnsi="宋体" w:cs="宋体"/>
          <w:sz w:val="24"/>
          <w:szCs w:val="24"/>
        </w:rPr>
        <w:t xml:space="preserve">核心建设内容包括在中心城区及周边加密布设27套区域气象观测站、16套微型气象观测站（雨量站），对扬州国家气象观测站综合观测系统进行升级改造，同时完成相关观测设备备件采购及监测数据系统集成工作。</w:t>
      </w:r>
      <w:r/>
    </w:p>
    <w:p>
      <w:pPr>
        <w:ind w:firstLine="480"/>
        <w:jc w:val="left"/>
        <w:spacing w:line="360" w:lineRule="auto"/>
        <w:widowControl/>
        <w:rPr>
          <w:rFonts w:ascii="宋体" w:hAnsi="宋体" w:cs="宋体"/>
          <w:b/>
          <w:color w:val="000000"/>
          <w:sz w:val="24"/>
          <w:szCs w:val="24"/>
        </w:rPr>
      </w:pPr>
      <w:r>
        <w:rPr>
          <w:rFonts w:ascii="宋体" w:hAnsi="宋体" w:cs="宋体"/>
          <w:sz w:val="24"/>
          <w:szCs w:val="24"/>
        </w:rPr>
        <w:t xml:space="preserve">项目建成后，将有效填补极端强降水、强对流等灾害天气的监测盲区，显著提升预报预警的精准度与时效性，推动气象、水利、住建等部门实现信息快速共享与高效联动，为城市防汛排涝提供坚实的技术支撑，助力海绵城市建设成效落地。</w:t>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color w:val="000000"/>
          <w:sz w:val="24"/>
          <w:szCs w:val="24"/>
        </w:rPr>
        <w:t xml:space="preserve">2、</w:t>
      </w:r>
      <w:r>
        <w:rPr>
          <w:rFonts w:hint="eastAsia" w:ascii="宋体" w:hAnsi="宋体" w:cs="宋体"/>
          <w:b/>
          <w:bCs/>
          <w:color w:val="000000" w:themeColor="text1"/>
          <w:sz w:val="24"/>
          <w:szCs w:val="24"/>
          <w14:textFill>
            <w14:solidFill>
              <w14:schemeClr w14:val="tx1"/>
            </w14:solidFill>
          </w14:textFill>
        </w:rPr>
        <w:t xml:space="preserve">采购清单</w:t>
      </w:r>
      <w:r/>
    </w:p>
    <w:tbl>
      <w:tblPr>
        <w:tblStyle w:val="786"/>
        <w:tblW w:w="0" w:type="auto"/>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5"/>
        <w:gridCol w:w="1911"/>
        <w:gridCol w:w="5394"/>
        <w:gridCol w:w="1124"/>
      </w:tblGrid>
      <w:tr>
        <w:trPr>
          <w:trHeight w:val="308"/>
        </w:trPr>
        <w:tc>
          <w:tcPr>
            <w:tcW w:w="52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序号</w:t>
            </w:r>
            <w:r/>
          </w:p>
        </w:tc>
        <w:tc>
          <w:tcPr>
            <w:tcW w:w="1911"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设备</w:t>
            </w:r>
            <w:r/>
          </w:p>
        </w:tc>
        <w:tc>
          <w:tcPr>
            <w:tcW w:w="539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设备内容</w:t>
            </w:r>
            <w:r/>
          </w:p>
        </w:tc>
        <w:tc>
          <w:tcPr>
            <w:tcW w:w="112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需求数量</w:t>
            </w:r>
            <w:r/>
          </w:p>
        </w:tc>
      </w:tr>
      <w:tr>
        <w:trPr/>
        <w:tc>
          <w:tcPr>
            <w:tcW w:w="525"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w:t>
            </w:r>
            <w:r/>
          </w:p>
        </w:tc>
        <w:tc>
          <w:tcPr>
            <w:tcW w:w="1911"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国家站综合观测系统</w:t>
            </w:r>
            <w:r/>
          </w:p>
        </w:tc>
        <w:tc>
          <w:tcPr>
            <w:tcW w:w="5394"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观测系统包含：能见度传感器、视程障碍仪、 降水现象仪、雪深、高精度温度传感器、湿度传感器、风向风速传感器、气压传感器、雨量传感器、称重降水仪及附件、地温传感器（地表1支；浅层4支；深层4支；草温1支）、日照计、总辐射、直接辐射、长波辐射、紫外A波段辐射、 紫外B波段辐射、交换机、防火墙、工作站配置、UPS电源、数据采集系统、温湿度分采集系统、地温分采集系统、综合集成硬件控制器、光纤转换器、供电及附件、风塔、观测场避雷针塔、综合观测系统安装附件。智能电源箱、智能站冗余。</w:t>
            </w:r>
            <w:r/>
          </w:p>
        </w:tc>
        <w:tc>
          <w:tcPr>
            <w:tcW w:w="1124"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1套</w:t>
            </w:r>
            <w:r/>
          </w:p>
        </w:tc>
      </w:tr>
      <w:tr>
        <w:trPr/>
        <w:tc>
          <w:tcPr>
            <w:tcW w:w="525"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w:t>
            </w:r>
            <w:r/>
          </w:p>
        </w:tc>
        <w:tc>
          <w:tcPr>
            <w:tcW w:w="1911"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五要素自动站</w:t>
            </w:r>
            <w:r/>
          </w:p>
        </w:tc>
        <w:tc>
          <w:tcPr>
            <w:tcW w:w="5394"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温湿度传感器、 风向传感器、 风速传感器、雨量传感器</w:t>
            </w:r>
            <w:r/>
          </w:p>
        </w:tc>
        <w:tc>
          <w:tcPr>
            <w:tcW w:w="1124"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27套</w:t>
            </w:r>
            <w:r/>
          </w:p>
        </w:tc>
      </w:tr>
      <w:tr>
        <w:trPr/>
        <w:tc>
          <w:tcPr>
            <w:tcW w:w="525"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3</w:t>
            </w:r>
            <w:r/>
          </w:p>
        </w:tc>
        <w:tc>
          <w:tcPr>
            <w:tcW w:w="1911"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翻斗式自动雨量站</w:t>
            </w:r>
            <w:r/>
          </w:p>
        </w:tc>
        <w:tc>
          <w:tcPr>
            <w:tcW w:w="5394"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雨量传感器</w:t>
            </w:r>
            <w:r/>
          </w:p>
        </w:tc>
        <w:tc>
          <w:tcPr>
            <w:tcW w:w="1124"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16套</w:t>
            </w:r>
            <w:r/>
          </w:p>
        </w:tc>
      </w:tr>
      <w:tr>
        <w:trPr/>
        <w:tc>
          <w:tcPr>
            <w:tcW w:w="525"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4</w:t>
            </w:r>
            <w:r/>
          </w:p>
        </w:tc>
        <w:tc>
          <w:tcPr>
            <w:tcW w:w="1911"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软件</w:t>
            </w:r>
            <w:r/>
          </w:p>
        </w:tc>
        <w:tc>
          <w:tcPr>
            <w:tcW w:w="5394"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1、多源资料监测分析。</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2、灾害天气识别报警。</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3、气象数据共享服务。</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4、气象插件共享服务。</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5、系统综合管理。</w:t>
            </w:r>
            <w:r/>
          </w:p>
        </w:tc>
        <w:tc>
          <w:tcPr>
            <w:tcW w:w="1124"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1套</w:t>
            </w:r>
            <w:r/>
          </w:p>
        </w:tc>
      </w:tr>
      <w:tr>
        <w:trPr/>
        <w:tc>
          <w:tcPr>
            <w:tcW w:w="525"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5</w:t>
            </w:r>
            <w:r/>
          </w:p>
        </w:tc>
        <w:tc>
          <w:tcPr>
            <w:tcW w:w="1911"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气象服务插件</w:t>
            </w:r>
            <w:r/>
          </w:p>
        </w:tc>
        <w:tc>
          <w:tcPr>
            <w:tcW w:w="5394"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气象服务插件</w:t>
            </w:r>
            <w:r/>
          </w:p>
        </w:tc>
        <w:tc>
          <w:tcPr>
            <w:tcW w:w="1124"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1套</w:t>
            </w:r>
            <w:r/>
          </w:p>
        </w:tc>
      </w:tr>
      <w:tr>
        <w:trPr/>
        <w:tc>
          <w:tcPr>
            <w:tcW w:w="525"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6</w:t>
            </w:r>
            <w:r/>
          </w:p>
        </w:tc>
        <w:tc>
          <w:tcPr>
            <w:tcW w:w="1911"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国家站标准化提升改造备件</w:t>
            </w:r>
            <w:r/>
          </w:p>
        </w:tc>
        <w:tc>
          <w:tcPr>
            <w:tcW w:w="5394"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1、数据采集系统（主站）。</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2、数据采集系统（辅站）。</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3、温湿度分采集系统。</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4、地温分采集器。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5、综合集成硬件控制器（主站）。</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6、综合集成硬件控制器（辅站）。</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7、光纤转换器。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8、风向风速传感器。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9、高精度温度传感器。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10、湿度传感器。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11、气压传感器。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12、地温传感器：（地表1支；浅层4支；深层4支；草温1支）。</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13、能见度传感器。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14、称重降水传感器。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15、降水现象仪传感器。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16、自动日照仪传感器。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17、视程障碍现象仪传感器。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18、雪深观测仪传感器。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19、交流供电系统。</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20、设备防雷组件。</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21、线缆：50米光纤1根。</w:t>
            </w:r>
            <w:r/>
          </w:p>
        </w:tc>
        <w:tc>
          <w:tcPr>
            <w:tcW w:w="1124"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1套</w:t>
            </w:r>
            <w:r/>
          </w:p>
        </w:tc>
      </w:tr>
      <w:tr>
        <w:trPr/>
        <w:tc>
          <w:tcPr>
            <w:tcW w:w="525"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7</w:t>
            </w:r>
            <w:r/>
          </w:p>
        </w:tc>
        <w:tc>
          <w:tcPr>
            <w:tcW w:w="1911"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五要素自动站备件</w:t>
            </w:r>
            <w:r/>
          </w:p>
        </w:tc>
        <w:tc>
          <w:tcPr>
            <w:tcW w:w="5394"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1、数据采集系统。</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2、无线通信模块。</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3、温湿度传感器。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4、风向风速传感器。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5、雨量传感器。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6、太阳能供电系统。</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7、通讯、信号和供电电缆。</w:t>
            </w:r>
            <w:r/>
          </w:p>
        </w:tc>
        <w:tc>
          <w:tcPr>
            <w:tcW w:w="1124"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3套</w:t>
            </w:r>
            <w:r/>
          </w:p>
        </w:tc>
      </w:tr>
      <w:tr>
        <w:trPr/>
        <w:tc>
          <w:tcPr>
            <w:tcW w:w="525"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8</w:t>
            </w:r>
            <w:r/>
          </w:p>
        </w:tc>
        <w:tc>
          <w:tcPr>
            <w:tcW w:w="1911"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翻斗式自动雨量站备件</w:t>
            </w:r>
            <w:r/>
          </w:p>
        </w:tc>
        <w:tc>
          <w:tcPr>
            <w:tcW w:w="5394" w:type="dxa"/>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1、数据采集系统。</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2、雨量传感器。</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3、太阳能供电系统。</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4、通讯、信号和供电电缆。</w:t>
            </w:r>
            <w:r/>
          </w:p>
        </w:tc>
        <w:tc>
          <w:tcPr>
            <w:tcW w:w="1124" w:type="dxa"/>
            <w:vAlign w:val="center"/>
            <w:textDirection w:val="lrTb"/>
            <w:noWrap w:val="false"/>
          </w:tcPr>
          <w:p>
            <w:pPr>
              <w:pStyle w:val="790"/>
              <w:jc w:val="center"/>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2套</w:t>
            </w:r>
            <w:r/>
          </w:p>
        </w:tc>
      </w:tr>
    </w:tbl>
    <w:p>
      <w:pPr>
        <w:pStyle w:val="790"/>
        <w:rPr>
          <w:color w:val="000000" w:themeColor="text1"/>
          <w14:textFill>
            <w14:solidFill>
              <w14:schemeClr w14:val="tx1"/>
            </w14:solidFill>
          </w14:textFill>
        </w:rPr>
      </w:pPr>
      <w:r>
        <w:rPr>
          <w:color w:val="000000" w:themeColor="text1"/>
          <w14:textFill>
            <w14:solidFill>
              <w14:schemeClr w14:val="tx1"/>
            </w14:solidFill>
          </w14:textFill>
        </w:rPr>
      </w:r>
      <w:r/>
    </w:p>
    <w:p>
      <w:pPr>
        <w:pStyle w:val="790"/>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s="宋体"/>
          <w:b/>
          <w:bCs/>
          <w:color w:val="000000" w:themeColor="text1"/>
          <w14:textFill>
            <w14:solidFill>
              <w14:schemeClr w14:val="tx1"/>
            </w14:solidFill>
          </w14:textFill>
        </w:rPr>
      </w:pPr>
      <w:r>
        <w:br w:type="page" w:clear="all"/>
      </w:r>
      <w:r/>
    </w:p>
    <w:p>
      <w:pPr>
        <w:ind w:firstLine="482"/>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3、技术参数及相关说明</w:t>
      </w:r>
      <w:r/>
    </w:p>
    <w:tbl>
      <w:tblPr>
        <w:tblStyle w:val="761"/>
        <w:tblW w:w="9000" w:type="dxa"/>
        <w:tblInd w:w="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6"/>
        <w:gridCol w:w="718"/>
        <w:gridCol w:w="7796"/>
      </w:tblGrid>
      <w:tr>
        <w:trPr>
          <w:trHeight w:val="600"/>
        </w:trPr>
        <w:tc>
          <w:tcPr>
            <w:tcW w:w="486"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序号</w:t>
            </w:r>
            <w:r/>
          </w:p>
        </w:tc>
        <w:tc>
          <w:tcPr>
            <w:tcW w:w="7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设备</w:t>
            </w:r>
            <w:r/>
          </w:p>
        </w:tc>
        <w:tc>
          <w:tcPr>
            <w:tcW w:w="7796"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bidi="ar"/>
                <w14:textFill>
                  <w14:solidFill>
                    <w14:schemeClr w14:val="tx1"/>
                  </w14:solidFill>
                </w14:textFill>
              </w:rPr>
              <w:t xml:space="preserve">主要技术参数、功能特性及</w:t>
            </w:r>
            <w:r/>
          </w:p>
        </w:tc>
      </w:tr>
      <w:tr>
        <w:trPr>
          <w:trHeight w:val="1691"/>
        </w:trPr>
        <w:tc>
          <w:tcPr>
            <w:tcW w:w="486" w:type="dxa"/>
            <w:vAlign w:val="center"/>
            <w:vMerge w:val="restart"/>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W w:w="718" w:type="dxa"/>
            <w:vAlign w:val="center"/>
            <w:vMerge w:val="restart"/>
            <w:textDirection w:val="lrTb"/>
            <w:noWrap w:val="false"/>
          </w:tcPr>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国家站综合观测系统</w:t>
            </w:r>
            <w:r/>
          </w:p>
        </w:tc>
        <w:tc>
          <w:tcPr>
            <w:tcW w:w="7796" w:type="dxa"/>
            <w:vAlign w:val="center"/>
            <w:vMerge w:val="restart"/>
            <w:textDirection w:val="lrTb"/>
            <w:noWrap w:val="false"/>
          </w:tcPr>
          <w:p>
            <w:pPr>
              <w:ind w:firstLine="480"/>
              <w:jc w:val="left"/>
              <w:widowControl/>
              <w:rPr>
                <w:rFonts w:ascii="宋体" w:hAnsi="宋体" w:cs="宋体"/>
                <w:b/>
                <w:bCs/>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1、能见度传感器（2套）：范围：10～30000m、分辨力：1m、最大允许误差：±10%（≤10000m）±20%（＞10000m）。</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2、视程障碍仪（1套）：测量范围：PM10：（0～2500）μg/m3 ，PM2.5：（0～1000）μg/m3，PM1：（0～1000）μg/m3。分辨率：0.1μg/m3。允许误差：不大于±20 μg/m3（浓度≤100 μg/m3），不大于±20%（浓度&gt;100 μg/m3）。</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3、降水现象仪（1套）：7种降水(雨，冻雨，毛毛雨，冻毛毛雨，雨夹雪，雪，冰粒) 。</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4、雪深（1套）：雪深传感器采用激光测距单元，其测量的雪深范围为 0～200cm；最大允许误差为：±1cm；分辨力为：0.1cm。</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▲5、高精度温度传感器（2套）：范围：-50℃～50℃、分辨率：0.1℃、最大允许误差：±0.2℃</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auto"/>
                <w:sz w:val="24"/>
                <w:szCs w:val="24"/>
              </w:rPr>
              <w:t xml:space="preserve">提供第三方检测报告</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▲6、湿度传感器（2套）：范围：5%～100%RH、分辨率：1%RH、最大允许误差±3%（≤80%）±5%（＞80%）</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auto"/>
                <w:sz w:val="24"/>
                <w:szCs w:val="24"/>
              </w:rPr>
              <w:t xml:space="preserve">提供第三方检测报告</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▲7、风向风速传感器（2套）：范围：0～360°，分辨率：3°，最大允许误差±5°范围：0～60m/s，分辨率：0.1m/s，最大允许误差±（0.5+0.03V）m/s</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auto"/>
                <w:sz w:val="24"/>
                <w:szCs w:val="24"/>
              </w:rPr>
              <w:t xml:space="preserve">提供相第三方检测报告</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▲8、气压传感器（2套）：范围：500~1100 hPa，分辨率：0.1 hPa，最大允许误差±0.3hPa</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auto"/>
                <w:sz w:val="24"/>
                <w:szCs w:val="24"/>
              </w:rPr>
              <w:t xml:space="preserve">提供第三方检测报告</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▲9、雨量传感器（2套）：范围：雨强0～4mm/min，分辨率：0.1mm，最大允许误差±0.4mm（≤10mm）±4%（＞10mm）</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auto"/>
                <w:sz w:val="24"/>
                <w:szCs w:val="24"/>
              </w:rPr>
              <w:t xml:space="preserve">提供第三方检测报告</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10、称重降水仪及附件（1套）：范围：0～200mm</w:t>
            </w:r>
            <w:r>
              <w:tab/>
            </w:r>
            <w:r>
              <w:rPr>
                <w:rFonts w:hint="eastAsia" w:ascii="宋体" w:hAnsi="宋体" w:cs="宋体"/>
                <w:color w:val="000000" w:themeColor="text1"/>
                <w:sz w:val="24"/>
                <w:szCs w:val="24"/>
                <w14:textFill>
                  <w14:solidFill>
                    <w14:schemeClr w14:val="tx1"/>
                  </w14:solidFill>
                </w14:textFill>
              </w:rPr>
              <w:t xml:space="preserve">分辨力：0.1mm、最大允许误差：±0.4mm(≤10mm)±4%（＞10mm）。</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11、地温传感器（2套）（地表1支；浅层4支；深层4支；草温1支）：地表温度：范围：-50℃～80℃；分辨率：0.1℃；最大允许误差：±0.2℃（-50～50℃） ；±0.5℃（50～80℃）。浅层地温：范围：-40℃～80℃；分辨率：0.1℃；最大允许误差：±0.3℃。深层低温：范围：-30℃～40℃；分辨率：0.1℃；最大允许误差：±0.3℃</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草温传感器：范围：-50℃～80℃；分辨率：0.1℃  ；最大允许误差：±0.2℃（-50～50℃） ；±0.5℃（50～80℃）。</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12、日照计（1套）：分辨力：0.1h</w:t>
            </w:r>
            <w:r>
              <w:tab/>
            </w:r>
            <w:r>
              <w:rPr>
                <w:rFonts w:hint="eastAsia" w:ascii="宋体" w:hAnsi="宋体" w:cs="宋体"/>
                <w:color w:val="000000" w:themeColor="text1"/>
                <w:sz w:val="24"/>
                <w:szCs w:val="24"/>
                <w14:textFill>
                  <w14:solidFill>
                    <w14:schemeClr w14:val="tx1"/>
                  </w14:solidFill>
                </w14:textFill>
              </w:rPr>
              <w:t xml:space="preserve">最大允许误差：±10%（月累计误差）。</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13、总辐射（1套）：范围：0～2000W/㎡；分辨率：5W/㎡；最大允许误差：5%（日累计曝辐量）。</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14、直接辐射（1套）：范围：0～2000W/㎡；分辨率：1W/㎡；最大允许误差：1%（日累计曝辐量）。</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15、长波辐射（1套）：范围：0～1200W/㎡；分辨率：5W/㎡；最大允许误差：5%（日累计曝辐量）。</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16、紫外A波段辐射（1套）:范围：0～90W/㎡；分辨率：0.1W/㎡；最大允许误差：5%（日累计曝辐量）。</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rPr>
                <w:rFonts w:hint="eastAsia" w:ascii="宋体" w:hAnsi="宋体" w:cs="宋体"/>
                <w:color w:val="000000" w:themeColor="text1"/>
                <w:sz w:val="24"/>
                <w:szCs w:val="24"/>
                <w14:textFill>
                  <w14:solidFill>
                    <w14:schemeClr w14:val="tx1"/>
                  </w14:solidFill>
                </w14:textFill>
              </w:rPr>
              <w:t xml:space="preserve"> </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17、紫外B波段辐射（1套）:范围：0～6W/㎡；分辨率：0.1W/㎡；最大允许误差：5%（日累计曝辐量）。</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18、交换机（1套）：8个10/100/1000BASE-T 以太网端口，4个千兆 SFP，包转发率：102Mpps，交换容量：336Gbps/3.36Tbps，包转发率：102Mpps。固定端口以太网交换机能效比值（TEER）≥300。</w:t>
            </w:r>
            <w:bookmarkStart w:id="2" w:name="OLE_LINK2"/>
            <w:r/>
            <w:r/>
          </w:p>
          <w:p>
            <w:pPr>
              <w:ind w:firstLine="480"/>
              <w:rPr>
                <w:rFonts w:ascii="宋体" w:hAnsi="宋体" w:cs="宋体"/>
                <w:i/>
                <w:iCs/>
                <w:sz w:val="24"/>
                <w:szCs w:val="24"/>
                <w:u w:val="single"/>
              </w:rPr>
            </w:pPr>
            <w:r>
              <w:rPr>
                <w:rFonts w:hint="eastAsia" w:ascii="宋体" w:hAnsi="宋体" w:cs="宋体"/>
                <w:i/>
                <w:iCs/>
                <w:sz w:val="24"/>
                <w:szCs w:val="24"/>
                <w:u w:val="single"/>
              </w:rPr>
              <w:t xml:space="preserve">交换机必须满足（财库〔2023〕7号）财政部、生态环境部、工业和信息化部关于印发《绿色数据中心政府采购需求标准（试行）》的通知中的以太网交换机技术指标要求：</w:t>
            </w:r>
            <w:r/>
          </w:p>
          <w:p>
            <w:pPr>
              <w:ind w:firstLine="480"/>
              <w:rPr>
                <w:rFonts w:ascii="宋体" w:hAnsi="宋体" w:cs="宋体"/>
                <w:i/>
                <w:iCs/>
                <w:sz w:val="24"/>
                <w:szCs w:val="24"/>
                <w:u w:val="single"/>
              </w:rPr>
            </w:pPr>
            <w:r>
              <w:rPr>
                <w:rFonts w:ascii="Calibri" w:hAnsi="Calibri" w:cs="Calibri"/>
                <w:i/>
                <w:iCs/>
                <w:sz w:val="24"/>
                <w:szCs w:val="24"/>
                <w:u w:val="single"/>
              </w:rPr>
              <w:t xml:space="preserve">①</w:t>
            </w:r>
            <w:r>
              <w:rPr>
                <w:rFonts w:hint="eastAsia" w:ascii="宋体" w:hAnsi="宋体" w:cs="宋体"/>
                <w:i/>
                <w:iCs/>
                <w:sz w:val="24"/>
                <w:szCs w:val="24"/>
                <w:u w:val="single"/>
              </w:rPr>
              <w:t xml:space="preserve">投标人（供应商）须提供承诺函，承诺设备、服务满足《绿色数据中心政府采购需求标准（试行）》的相关要求</w:t>
            </w:r>
            <w:r>
              <w:rPr>
                <w:rFonts w:hint="eastAsia" w:ascii="宋体" w:hAnsi="宋体" w:cs="宋体"/>
                <w:b/>
                <w:bCs/>
                <w:i/>
                <w:iCs/>
                <w:sz w:val="24"/>
                <w:szCs w:val="24"/>
                <w:u w:val="single"/>
              </w:rPr>
              <w:t xml:space="preserve">(承诺函格式自拟）</w:t>
            </w:r>
            <w:r>
              <w:rPr>
                <w:rFonts w:hint="eastAsia" w:ascii="宋体" w:hAnsi="宋体" w:cs="宋体"/>
                <w:i/>
                <w:iCs/>
                <w:sz w:val="24"/>
                <w:szCs w:val="24"/>
                <w:u w:val="single"/>
              </w:rPr>
              <w:t xml:space="preserve">。</w:t>
            </w:r>
            <w:r/>
          </w:p>
          <w:p>
            <w:pPr>
              <w:ind w:firstLine="480"/>
              <w:jc w:val="left"/>
              <w:widowControl/>
              <w:rPr>
                <w:rFonts w:ascii="宋体" w:hAnsi="宋体" w:cs="宋体"/>
                <w:color w:val="000000" w:themeColor="text1"/>
                <w:sz w:val="24"/>
                <w:szCs w:val="24"/>
                <w:highlight w:val="green"/>
                <w14:textFill>
                  <w14:solidFill>
                    <w14:schemeClr w14:val="tx1"/>
                  </w14:solidFill>
                </w14:textFill>
              </w:rPr>
            </w:pPr>
            <w:r>
              <w:rPr>
                <w:rFonts w:ascii="Calibri" w:hAnsi="Calibri" w:cs="Calibri"/>
                <w:sz w:val="24"/>
                <w:szCs w:val="24"/>
              </w:rPr>
              <w:t xml:space="preserve">②</w:t>
            </w:r>
            <w:r>
              <w:rPr>
                <w:rFonts w:hint="eastAsia" w:ascii="宋体" w:hAnsi="宋体" w:cs="宋体"/>
                <w:sz w:val="24"/>
                <w:szCs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19、防火墙</w:t>
            </w:r>
            <w:bookmarkEnd w:id="2"/>
            <w:r>
              <w:rPr>
                <w:rFonts w:hint="eastAsia" w:ascii="宋体" w:hAnsi="宋体" w:cs="宋体"/>
                <w:color w:val="000000" w:themeColor="text1"/>
                <w:sz w:val="24"/>
                <w:szCs w:val="24"/>
                <w14:textFill>
                  <w14:solidFill>
                    <w14:schemeClr w14:val="tx1"/>
                  </w14:solidFill>
                </w14:textFill>
              </w:rPr>
              <w:t xml:space="preserve">（1套）：支持分布式机架设备，采用非X86 64位多核高性能处理器和高速存储器。管理口：≥1个10/100M/1000M以太网电口。能耗为：GB20943的节能评价值。</w:t>
            </w:r>
            <w:r/>
          </w:p>
          <w:p>
            <w:pPr>
              <w:ind w:firstLine="480"/>
              <w:rPr>
                <w:rFonts w:ascii="宋体" w:hAnsi="宋体" w:cs="宋体"/>
                <w:i/>
                <w:iCs/>
                <w:sz w:val="24"/>
                <w:szCs w:val="24"/>
                <w:u w:val="single"/>
              </w:rPr>
            </w:pPr>
            <w:r>
              <w:rPr>
                <w:rFonts w:hint="eastAsia" w:ascii="宋体" w:hAnsi="宋体" w:cs="宋体"/>
                <w:i/>
                <w:iCs/>
                <w:sz w:val="24"/>
                <w:szCs w:val="24"/>
                <w:u w:val="single"/>
              </w:rPr>
              <w:t xml:space="preserve">防火墙必须满足（财库〔2023〕7号）财政部、生态环境部、工业和信息化部关于印发《绿色数据中心政府采购需求标准（试行）》的通知中的网络防火墙技术指标要求：</w:t>
            </w:r>
            <w:r/>
          </w:p>
          <w:p>
            <w:pPr>
              <w:ind w:firstLine="480"/>
              <w:rPr>
                <w:rFonts w:ascii="宋体" w:hAnsi="宋体" w:cs="宋体"/>
                <w:i/>
                <w:iCs/>
                <w:sz w:val="24"/>
                <w:szCs w:val="24"/>
                <w:u w:val="single"/>
              </w:rPr>
            </w:pPr>
            <w:r>
              <w:rPr>
                <w:rFonts w:ascii="Calibri" w:hAnsi="Calibri" w:cs="Calibri"/>
                <w:i/>
                <w:iCs/>
                <w:sz w:val="24"/>
                <w:szCs w:val="24"/>
                <w:u w:val="single"/>
              </w:rPr>
              <w:t xml:space="preserve">①</w:t>
            </w:r>
            <w:r>
              <w:rPr>
                <w:rFonts w:hint="eastAsia" w:ascii="宋体" w:hAnsi="宋体" w:cs="宋体"/>
                <w:i/>
                <w:iCs/>
                <w:sz w:val="24"/>
                <w:szCs w:val="24"/>
                <w:u w:val="single"/>
              </w:rPr>
              <w:t xml:space="preserve">投标人（供应商）须提供承诺函，承诺设备、服务满足《绿色数据中心政府采购需求标准（试行）》的相关要求</w:t>
            </w:r>
            <w:r>
              <w:rPr>
                <w:rFonts w:hint="eastAsia" w:ascii="宋体" w:hAnsi="宋体" w:cs="宋体"/>
                <w:b/>
                <w:bCs/>
                <w:i/>
                <w:iCs/>
                <w:sz w:val="24"/>
                <w:szCs w:val="24"/>
                <w:u w:val="single"/>
              </w:rPr>
              <w:t xml:space="preserve">(承诺函格式自拟）</w:t>
            </w:r>
            <w:r>
              <w:rPr>
                <w:rFonts w:hint="eastAsia" w:ascii="宋体" w:hAnsi="宋体" w:cs="宋体"/>
                <w:i/>
                <w:iCs/>
                <w:sz w:val="24"/>
                <w:szCs w:val="24"/>
                <w:u w:val="single"/>
              </w:rPr>
              <w:t xml:space="preserve">。</w:t>
            </w:r>
            <w:r/>
          </w:p>
          <w:p>
            <w:pPr>
              <w:ind w:firstLine="480"/>
              <w:jc w:val="left"/>
              <w:widowControl/>
              <w:rPr>
                <w:rFonts w:ascii="宋体" w:hAnsi="宋体" w:cs="宋体"/>
                <w:color w:val="000000" w:themeColor="text1"/>
                <w:sz w:val="24"/>
                <w:szCs w:val="24"/>
                <w:highlight w:val="green"/>
                <w14:textFill>
                  <w14:solidFill>
                    <w14:schemeClr w14:val="tx1"/>
                  </w14:solidFill>
                </w14:textFill>
              </w:rPr>
            </w:pPr>
            <w:r>
              <w:rPr>
                <w:rFonts w:ascii="Calibri" w:hAnsi="Calibri" w:cs="Calibri"/>
                <w:sz w:val="24"/>
                <w:szCs w:val="24"/>
              </w:rPr>
              <w:t xml:space="preserve">②</w:t>
            </w:r>
            <w:r>
              <w:rPr>
                <w:rFonts w:hint="eastAsia" w:ascii="宋体" w:hAnsi="宋体" w:cs="宋体"/>
                <w:sz w:val="24"/>
                <w:szCs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widowControl/>
              <w:rPr>
                <w:rFonts w:ascii="宋体" w:hAnsi="宋体" w:cs="宋体"/>
                <w:color w:val="000000" w:themeColor="text1"/>
                <w:sz w:val="24"/>
                <w:szCs w:val="24"/>
                <w:highlight w:val="gree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20、工作站配置（3套）：</w:t>
            </w:r>
            <w:r>
              <w:rPr>
                <w:rFonts w:hint="eastAsia" w:ascii="宋体" w:hAnsi="宋体" w:cs="宋体"/>
                <w:i/>
                <w:iCs/>
                <w:sz w:val="24"/>
                <w:szCs w:val="24"/>
                <w:u w:val="single"/>
              </w:rPr>
              <w:t xml:space="preserve">CPU信息：3024；内存配置容量：16G；</w:t>
            </w:r>
            <w:r>
              <w:rPr>
                <w:rFonts w:hint="eastAsia"/>
                <w:i/>
                <w:iCs/>
                <w:sz w:val="24"/>
                <w:szCs w:val="24"/>
                <w:u w:val="single"/>
              </w:rPr>
              <w:t xml:space="preserve">内存条配置数量（板载内存不涉及）：2；</w:t>
            </w:r>
            <w:r>
              <w:rPr>
                <w:rFonts w:hint="eastAsia" w:ascii="宋体" w:hAnsi="宋体" w:cs="宋体"/>
                <w:i/>
                <w:iCs/>
                <w:sz w:val="24"/>
                <w:szCs w:val="24"/>
                <w:u w:val="single"/>
              </w:rPr>
              <w:t xml:space="preserve">主板支持的CPU和内存情况：主板最大支持：2路CPU，12个内存插槽</w:t>
            </w:r>
            <w:r>
              <w:rPr>
                <w:rFonts w:hint="eastAsia" w:ascii="宋体" w:hAnsi="宋体" w:cs="宋体"/>
                <w:i/>
                <w:iCs/>
                <w:sz w:val="24"/>
                <w:szCs w:val="24"/>
                <w:u w:val="single"/>
                <w:lang w:val="en-US" w:eastAsia="zh-CN"/>
              </w:rPr>
              <w:t xml:space="preserve">及</w:t>
            </w:r>
            <w:r>
              <w:rPr>
                <w:rFonts w:hint="eastAsia" w:ascii="宋体" w:hAnsi="宋体" w:cs="宋体"/>
                <w:i/>
                <w:iCs/>
                <w:sz w:val="24"/>
                <w:szCs w:val="24"/>
                <w:u w:val="single"/>
              </w:rPr>
              <w:t xml:space="preserve">其他未列明参数必须承诺满足【财库〔2023〕32号】要求</w:t>
            </w:r>
            <w:r>
              <w:rPr>
                <w:rFonts w:hint="eastAsia" w:ascii="宋体" w:hAnsi="宋体" w:cs="宋体"/>
                <w:b/>
                <w:bCs/>
                <w:i/>
                <w:iCs/>
                <w:sz w:val="24"/>
                <w:szCs w:val="24"/>
                <w:u w:val="single"/>
              </w:rPr>
              <w:t xml:space="preserve">（提供承诺函）。</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UPS电源（1套）：容量：20KVA，采用先进的DSP数字控制技术，塔式安装；LCD屏幕显示设计，可实时显示UPS的工作参数和运行状态（电池故障、UPS故障、超载指示、旁路、电池故障、负载和电池容量等）；标配紧急关断开关EPO接口；市电异常状况可以直接用电池启动UPS</w:t>
            </w:r>
            <w:r>
              <w:rPr>
                <w:rFonts w:hint="eastAsia" w:ascii="宋体" w:hAnsi="宋体" w:cs="宋体"/>
                <w:color w:val="000000" w:themeColor="text1"/>
                <w:sz w:val="24"/>
                <w:szCs w:val="24"/>
                <w14:textFill>
                  <w14:solidFill>
                    <w14:schemeClr w14:val="tx1"/>
                  </w14:solidFill>
                </w14:textFill>
              </w:rPr>
              <w:t xml:space="preserve">，满足应急需求；无电池状态可直接采用市电启动UPS，可作高精度稳压电源使用；支持无电池情况开机；充电电流4A；过载能力：&lt;105% 连续工作  105%-110% 10分钟；UPS主机的输入：a) 输入相电压范围：110-300VAC；b) 输入频率范围：50 ±4Hz；c) 输入功率因数：≥0.99；d) 直流电压：240V) 标配5KA防雷f) 标配63A交流输入空开；UPS主机的输出：a) 输出电压： 220Vac/230Vac/240Vac；  b) 效率：在线模式≥91%； c) 功率因数0.9。</w:t>
            </w:r>
            <w:r/>
          </w:p>
          <w:p>
            <w:pPr>
              <w:ind w:firstLine="480"/>
              <w:rPr>
                <w:rFonts w:ascii="宋体" w:hAnsi="宋体" w:cs="宋体"/>
                <w:i/>
                <w:iCs/>
                <w:sz w:val="24"/>
                <w:szCs w:val="24"/>
                <w:u w:val="single"/>
              </w:rPr>
            </w:pPr>
            <w:r>
              <w:rPr>
                <w:rFonts w:hint="eastAsia" w:ascii="宋体" w:hAnsi="宋体" w:cs="宋体"/>
                <w:i/>
                <w:iCs/>
                <w:sz w:val="24"/>
                <w:szCs w:val="24"/>
                <w:u w:val="single"/>
              </w:rPr>
              <w:t xml:space="preserve">UPS电源必须满足（财库〔2023〕7号）财政部、生态环境部、工业和信息化部关于印发《绿色数据中心政府采购需求标准（试行）》的通知中的不间断电源技术指标要求：</w:t>
            </w:r>
            <w:r/>
          </w:p>
          <w:p>
            <w:pPr>
              <w:ind w:firstLine="480"/>
              <w:rPr>
                <w:rFonts w:ascii="宋体" w:hAnsi="宋体" w:cs="宋体"/>
                <w:i/>
                <w:iCs/>
                <w:sz w:val="24"/>
                <w:szCs w:val="24"/>
                <w:u w:val="single"/>
              </w:rPr>
            </w:pPr>
            <w:r>
              <w:rPr>
                <w:rFonts w:ascii="Calibri" w:hAnsi="Calibri" w:cs="Calibri"/>
                <w:i/>
                <w:iCs/>
                <w:sz w:val="24"/>
                <w:szCs w:val="24"/>
                <w:u w:val="single"/>
              </w:rPr>
              <w:t xml:space="preserve">①</w:t>
            </w:r>
            <w:r>
              <w:rPr>
                <w:rFonts w:hint="eastAsia" w:ascii="宋体" w:hAnsi="宋体" w:cs="宋体"/>
                <w:i/>
                <w:iCs/>
                <w:sz w:val="24"/>
                <w:szCs w:val="24"/>
                <w:u w:val="single"/>
              </w:rPr>
              <w:t xml:space="preserve">投标人（供应商）须提供承诺函，承诺设备、服务满足《绿色数据中心政府采购需求标准（试行）》的相关要求</w:t>
            </w:r>
            <w:r>
              <w:rPr>
                <w:rFonts w:hint="eastAsia" w:ascii="宋体" w:hAnsi="宋体" w:cs="宋体"/>
                <w:b/>
                <w:bCs/>
                <w:i/>
                <w:iCs/>
                <w:sz w:val="24"/>
                <w:szCs w:val="24"/>
                <w:u w:val="single"/>
              </w:rPr>
              <w:t xml:space="preserve">(承诺函格式自拟）</w:t>
            </w:r>
            <w:r>
              <w:rPr>
                <w:rFonts w:hint="eastAsia" w:ascii="宋体" w:hAnsi="宋体" w:cs="宋体"/>
                <w:i/>
                <w:iCs/>
                <w:sz w:val="24"/>
                <w:szCs w:val="24"/>
                <w:u w:val="single"/>
              </w:rPr>
              <w:t xml:space="preserve">。</w:t>
            </w:r>
            <w:r/>
          </w:p>
          <w:p>
            <w:pPr>
              <w:ind w:firstLine="480"/>
              <w:jc w:val="left"/>
              <w:widowControl/>
              <w:rPr>
                <w:rFonts w:ascii="宋体" w:hAnsi="宋体" w:cs="宋体"/>
                <w:color w:val="000000" w:themeColor="text1"/>
                <w:sz w:val="24"/>
                <w:szCs w:val="24"/>
                <w14:textFill>
                  <w14:solidFill>
                    <w14:schemeClr w14:val="tx1"/>
                  </w14:solidFill>
                </w14:textFill>
              </w:rPr>
            </w:pPr>
            <w:r>
              <w:rPr>
                <w:rFonts w:ascii="Calibri" w:hAnsi="Calibri" w:cs="Calibri"/>
                <w:sz w:val="24"/>
                <w:szCs w:val="24"/>
              </w:rPr>
              <w:t xml:space="preserve">②</w:t>
            </w:r>
            <w:r>
              <w:rPr>
                <w:rFonts w:hint="eastAsia" w:ascii="宋体" w:hAnsi="宋体" w:cs="宋体"/>
                <w:sz w:val="24"/>
                <w:szCs w:val="24"/>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22、数据采集系统（2套）：1、32位操作系统，程序执行频率可达到200MHz；2、24位高精度模-数转换；3、自持式高精度实时时钟；月误差小于15S。</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23、温湿度分采集系统（2套）：分采集器硬件包含高性能嵌入式处理器、高精度A/D 电路、参数存储器、传感器接口、CAN总线接口、RS-232终端调试端口、监测电路、指示灯，硬件系统支持运行嵌入式实时操作系统。</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24、地温分采集系统（2套）：分采集器硬件包含高性能嵌入式处理器、高精度A/D 电路、参数存储器、传感器接口、CAN总线接口、RS-232终端调试端口、监测电路、指示灯，硬件系统支持运行嵌入式实时操作系统。</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25、综合集成硬件控制器（2套）：(1)</w:t>
            </w:r>
            <w:r>
              <w:tab/>
            </w:r>
            <w:r>
              <w:rPr>
                <w:rFonts w:hint="eastAsia" w:ascii="宋体" w:hAnsi="宋体" w:cs="宋体"/>
                <w:color w:val="000000" w:themeColor="text1"/>
                <w:sz w:val="24"/>
                <w:szCs w:val="24"/>
                <w14:textFill>
                  <w14:solidFill>
                    <w14:schemeClr w14:val="tx1"/>
                  </w14:solidFill>
                </w14:textFill>
              </w:rPr>
              <w:t xml:space="preserve">4个RS-232/485/422（ZigBee或ST光纤）接口，用于连接观测设备。(2)</w:t>
            </w:r>
            <w:r>
              <w:tab/>
            </w:r>
            <w:r>
              <w:rPr>
                <w:rFonts w:hint="eastAsia" w:ascii="宋体" w:hAnsi="宋体" w:cs="宋体"/>
                <w:color w:val="000000" w:themeColor="text1"/>
                <w:sz w:val="24"/>
                <w:szCs w:val="24"/>
                <w14:textFill>
                  <w14:solidFill>
                    <w14:schemeClr w14:val="tx1"/>
                  </w14:solidFill>
                </w14:textFill>
              </w:rPr>
              <w:t xml:space="preserve">1个RJ45接口，用于以太网信号输出。(3)</w:t>
            </w:r>
            <w:r>
              <w:tab/>
            </w:r>
            <w:r>
              <w:rPr>
                <w:rFonts w:hint="eastAsia" w:ascii="宋体" w:hAnsi="宋体" w:cs="宋体"/>
                <w:color w:val="000000" w:themeColor="text1"/>
                <w:sz w:val="24"/>
                <w:szCs w:val="24"/>
                <w14:textFill>
                  <w14:solidFill>
                    <w14:schemeClr w14:val="tx1"/>
                  </w14:solidFill>
                </w14:textFill>
              </w:rPr>
              <w:t xml:space="preserve">1个RJ45接口，用于多个通信控制模块级联。</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26、光纤转换器（2套）：ST光纤收发接口，用于连接室内机（光电转换模块）传输数据。</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27、供电及附件（2套）：交流供电系统2套、CF卡（工业级）2张、读卡器1个、设备防雷组件1套、信号电缆及通讯光纤1套、温湿度传感器安装支架1套、风传感器安装横臂1套、2.8m安装立柱1根、0.5m安装立柱1根、草温、浅层地温支架1套、玻璃钢百叶箱1只。</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28、风塔（1座）：10米塔，用于安装风传感器、采用Q235钢，采用热镀锌防腐处理。</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29、观测场避雷针塔（2根）：25米避雷针塔、材料标准Q355B</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30、综合观测系统安装附件（1套）：光纤通信盒（室内）1支、3根200米光纤。</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31、智能电源箱（1套）：智能网关模块1支、远程控制附件5支、小型断路器11支、转换模块24V1支、交流防雷模块1支、直流防雷模块1支、电源箱1支、相关结构件及交直流线缆等。</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32、智能站冗余（1套）：WUSH-PT6网络通信盒1支、自动站网络冗余（205A机）1支、25米光纤3根、相关安装结构件。</w:t>
            </w:r>
            <w:r/>
          </w:p>
        </w:tc>
      </w:tr>
      <w:tr>
        <w:trPr>
          <w:trHeight w:val="1245"/>
        </w:trPr>
        <w:tc>
          <w:tcPr>
            <w:tcW w:w="486" w:type="dxa"/>
            <w:vAlign w:val="center"/>
            <w:vMerge w:val="continue"/>
            <w:textDirection w:val="lrTb"/>
            <w:noWrap w:val="false"/>
          </w:tcPr>
          <w:p>
            <w:pPr>
              <w:jc w:val="left"/>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718" w:type="dxa"/>
            <w:vAlign w:val="center"/>
            <w:vMerge w:val="continue"/>
            <w:textDirection w:val="lrTb"/>
            <w:noWrap w:val="false"/>
          </w:tcPr>
          <w:p>
            <w:pPr>
              <w:jc w:val="left"/>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7796" w:type="dxa"/>
            <w:vAlign w:val="center"/>
            <w:vMerge w:val="continue"/>
            <w:textDirection w:val="lrTb"/>
            <w:noWrap w:val="false"/>
          </w:tcPr>
          <w:p>
            <w:pPr>
              <w:jc w:val="left"/>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trHeight w:val="3109"/>
        </w:trPr>
        <w:tc>
          <w:tcPr>
            <w:tcW w:w="486"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W w:w="7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五要素自动站</w:t>
            </w:r>
            <w:r/>
          </w:p>
        </w:tc>
        <w:tc>
          <w:tcPr>
            <w:tcW w:w="7796" w:type="dxa"/>
            <w:vAlign w:val="center"/>
            <w:textDirection w:val="lrTb"/>
            <w:noWrap w:val="false"/>
          </w:tcPr>
          <w:p>
            <w:pPr>
              <w:ind w:firstLine="480"/>
              <w:jc w:val="lef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sz w:val="24"/>
                <w:szCs w:val="24"/>
                <w:highlight w:val="none"/>
              </w:rPr>
              <w:t xml:space="preserve">1、数据采集系统（1套）:数据采集器是自动站的核心，其主要功能是数据采集、数据处理、数据存储和数据传输。1）支持GPRS远程数据传输。2）8个可配置模拟传感器输入。3）4个串行“智能传感器”接口。4）支持CAN bus总线组网。5）支持CF卡传输数据及程序</w:t>
            </w:r>
            <w:r>
              <w:rPr>
                <w:rFonts w:hint="eastAsia" w:ascii="宋体" w:hAnsi="宋体" w:cs="宋体"/>
                <w:sz w:val="24"/>
                <w:szCs w:val="24"/>
                <w:highlight w:val="none"/>
                <w:lang w:eastAsia="zh-CN"/>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sz w:val="24"/>
                <w:szCs w:val="24"/>
                <w:highlight w:val="none"/>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2、温湿度传感器（1套）: 温度测量范围：-50℃～50℃、分辨率：0.1℃、最大允许误差：±0.2℃。湿度测量范围：5%～100%、分辨率：1%、最大允许误差：±3%（≤80%）±5%（＞80%）。</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rPr>
                <w:highlight w:val="none"/>
              </w:rPr>
              <w:br/>
            </w:r>
            <w:r>
              <w:rPr>
                <w:rFonts w:hint="eastAsia"/>
                <w:highlight w:val="none"/>
                <w:lang w:val="en-US" w:eastAsia="zh-CN"/>
              </w:rPr>
              <w:t xml:space="preserve">    </w:t>
            </w: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sz w:val="24"/>
                <w:szCs w:val="24"/>
                <w:highlight w:val="none"/>
              </w:rPr>
              <w:t xml:space="preserve">风向风速传感器（1套）：风向测量范围0～360°、分辨率：3°、最大允许误差：±5°；风速测量范围：0～60m/s、分辨率：0.1m/s、最大允许误差：±（0.5+0.03V）m/s。</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4、雨量传感器（1套）:测量范围：雨强0～4mm/min、分辨率：0.1mm、最大允许误差： ±0.4mm（≤10mm）、±4%（＞10mm）</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Arial"/>
                <w:b/>
                <w:i/>
                <w:iCs/>
                <w:sz w:val="24"/>
                <w:szCs w:val="24"/>
                <w:highlight w:val="none"/>
                <w:u w:val="single"/>
              </w:rPr>
            </w:pPr>
            <w:r>
              <w:rPr>
                <w:rFonts w:hint="eastAsia" w:ascii="宋体" w:hAnsi="宋体" w:cs="Arial"/>
                <w:bCs/>
                <w:i/>
                <w:iCs/>
                <w:sz w:val="24"/>
                <w:szCs w:val="24"/>
                <w:highlight w:val="none"/>
                <w:u w:val="single"/>
              </w:rPr>
              <w:t xml:space="preserve">5、五要素自动站取得中国气象局颁发的自动气象站气象专用技术装备使用许可证。</w:t>
            </w:r>
            <w:r>
              <w:rPr>
                <w:rFonts w:hint="eastAsia" w:ascii="宋体" w:hAnsi="宋体" w:cs="Arial"/>
                <w:b/>
                <w:i/>
                <w:iCs/>
                <w:sz w:val="24"/>
                <w:szCs w:val="24"/>
                <w:highlight w:val="none"/>
                <w:u w:val="single"/>
              </w:rPr>
              <w:t xml:space="preserve">（提供许可证书原件，扫描上传。）</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i/>
                <w:iCs/>
                <w:sz w:val="24"/>
                <w:szCs w:val="24"/>
                <w:highlight w:val="none"/>
                <w:u w:val="single"/>
              </w:rPr>
              <w:t xml:space="preserve">6、五要素自动站数据应能统一</w:t>
            </w:r>
            <w:bookmarkStart w:id="3" w:name="OLE_LINK18"/>
            <w:r/>
            <w:bookmarkStart w:id="4" w:name="OLE_LINK19"/>
            <w:r>
              <w:rPr>
                <w:rFonts w:hint="eastAsia" w:ascii="宋体" w:hAnsi="宋体" w:cs="宋体"/>
                <w:i/>
                <w:iCs/>
                <w:sz w:val="24"/>
                <w:szCs w:val="24"/>
                <w:highlight w:val="none"/>
                <w:u w:val="single"/>
              </w:rPr>
              <w:t xml:space="preserve">接入</w:t>
            </w:r>
            <w:bookmarkStart w:id="5" w:name="OLE_LINK12"/>
            <w:r/>
            <w:bookmarkStart w:id="6" w:name="OLE_LINK11"/>
            <w:r>
              <w:rPr>
                <w:rFonts w:hint="eastAsia" w:ascii="宋体" w:hAnsi="宋体" w:cs="宋体"/>
                <w:i/>
                <w:iCs/>
                <w:sz w:val="24"/>
                <w:szCs w:val="24"/>
                <w:highlight w:val="none"/>
                <w:u w:val="single"/>
              </w:rPr>
              <w:t xml:space="preserve">江苏省气象局中心站软件系统平台</w:t>
            </w:r>
            <w:bookmarkEnd w:id="3"/>
            <w:r/>
            <w:bookmarkEnd w:id="4"/>
            <w:r/>
            <w:bookmarkEnd w:id="5"/>
            <w:r/>
            <w:bookmarkEnd w:id="6"/>
            <w:r>
              <w:rPr>
                <w:rFonts w:hint="eastAsia" w:ascii="宋体" w:hAnsi="宋体" w:cs="宋体"/>
                <w:b/>
                <w:bCs/>
                <w:i/>
                <w:iCs/>
                <w:sz w:val="24"/>
                <w:szCs w:val="24"/>
                <w:highlight w:val="none"/>
                <w:u w:val="single"/>
              </w:rPr>
              <w:t xml:space="preserve">（提供承诺函，格式自拟）。</w:t>
            </w:r>
            <w:r/>
          </w:p>
        </w:tc>
      </w:tr>
      <w:tr>
        <w:trPr>
          <w:trHeight w:val="841"/>
        </w:trPr>
        <w:tc>
          <w:tcPr>
            <w:tcW w:w="486"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W w:w="7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bookmarkStart w:id="7" w:name="OLE_LINK5"/>
            <w:r>
              <w:rPr>
                <w:rFonts w:hint="eastAsia" w:ascii="宋体" w:hAnsi="宋体" w:cs="宋体"/>
                <w:color w:val="000000" w:themeColor="text1"/>
                <w:sz w:val="24"/>
                <w:szCs w:val="24"/>
                <w14:textFill>
                  <w14:solidFill>
                    <w14:schemeClr w14:val="tx1"/>
                  </w14:solidFill>
                </w14:textFill>
              </w:rPr>
              <w:t xml:space="preserve">翻斗式自动雨量站</w:t>
            </w:r>
            <w:bookmarkEnd w:id="7"/>
            <w:r/>
            <w:r/>
          </w:p>
        </w:tc>
        <w:tc>
          <w:tcPr>
            <w:tcW w:w="7796" w:type="dxa"/>
            <w:vAlign w:val="center"/>
            <w:textDirection w:val="lrTb"/>
            <w:noWrap w:val="false"/>
          </w:tcPr>
          <w:p>
            <w:pPr>
              <w:ind w:firstLine="480"/>
              <w:jc w:val="left"/>
              <w:widowControl/>
              <w:rPr>
                <w:rFonts w:ascii="宋体" w:hAnsi="宋体" w:cs="宋体"/>
                <w:sz w:val="24"/>
                <w:szCs w:val="24"/>
                <w:highlight w:val="none"/>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sz w:val="24"/>
                <w:szCs w:val="24"/>
                <w:highlight w:val="none"/>
              </w:rPr>
              <w:t xml:space="preserve">1、数据采集系统（1套）:自动气象站的核心，主要负责采集挂接传感器的数据，按统一的规范进行处理、存储、传输。1）内置高精度的 A/D 电路、实时时钟电路。2）内置数据存储器，存储气象要素数据、运行状态信息等。3）具有 RS-232 通信接口。</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sz w:val="24"/>
                <w:szCs w:val="24"/>
                <w:highlight w:val="none"/>
              </w:rPr>
              <w:t xml:space="preserve">2、雨量传感器（1套）: 测量范围：雨强0～4mm/min、分辨率：0.1mm、最大允许误差：±0.4mm（≤10mm）、±4%（＞10mm）</w:t>
            </w:r>
            <w:r>
              <w:rPr>
                <w:rFonts w:hint="eastAsia" w:ascii="宋体" w:hAnsi="宋体" w:cs="宋体"/>
                <w:sz w:val="24"/>
                <w:szCs w:val="24"/>
                <w:highlight w:val="none"/>
                <w:lang w:eastAsia="zh-CN"/>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i/>
                <w:iCs/>
                <w:sz w:val="24"/>
                <w:szCs w:val="24"/>
                <w:highlight w:val="none"/>
                <w:u w:val="single"/>
              </w:rPr>
              <w:t xml:space="preserve">3、</w:t>
            </w:r>
            <w:bookmarkStart w:id="8" w:name="OLE_LINK16"/>
            <w:r/>
            <w:bookmarkStart w:id="9" w:name="OLE_LINK15"/>
            <w:r>
              <w:rPr>
                <w:rFonts w:ascii="宋体" w:hAnsi="宋体" w:cs="Arial"/>
                <w:bCs/>
                <w:i/>
                <w:iCs/>
                <w:sz w:val="24"/>
                <w:szCs w:val="24"/>
                <w:highlight w:val="none"/>
                <w:u w:val="single"/>
              </w:rPr>
              <w:t xml:space="preserve">翻斗式自动雨量</w:t>
            </w:r>
            <w:bookmarkEnd w:id="8"/>
            <w:r/>
            <w:bookmarkEnd w:id="9"/>
            <w:r>
              <w:rPr>
                <w:rFonts w:ascii="宋体" w:hAnsi="宋体" w:cs="Arial"/>
                <w:bCs/>
                <w:i/>
                <w:iCs/>
                <w:sz w:val="24"/>
                <w:szCs w:val="24"/>
                <w:highlight w:val="none"/>
                <w:u w:val="single"/>
              </w:rPr>
              <w:t xml:space="preserve">站</w:t>
            </w:r>
            <w:r>
              <w:rPr>
                <w:rFonts w:hint="eastAsia" w:ascii="宋体" w:hAnsi="宋体" w:cs="Arial"/>
                <w:bCs/>
                <w:i/>
                <w:iCs/>
                <w:sz w:val="24"/>
                <w:szCs w:val="24"/>
                <w:highlight w:val="none"/>
                <w:u w:val="single"/>
              </w:rPr>
              <w:t xml:space="preserve">具有中国气象局颁发的气象专用技术装备使用许可证</w:t>
            </w:r>
            <w:r>
              <w:rPr>
                <w:rFonts w:hint="eastAsia" w:ascii="宋体" w:hAnsi="宋体" w:cs="Arial"/>
                <w:b/>
                <w:i/>
                <w:iCs/>
                <w:sz w:val="24"/>
                <w:szCs w:val="24"/>
                <w:highlight w:val="none"/>
                <w:u w:val="single"/>
              </w:rPr>
              <w:t xml:space="preserve">（提供许可证书原件，扫描上传）。</w:t>
            </w:r>
            <w:r/>
          </w:p>
          <w:p>
            <w:pPr>
              <w:numPr>
                <w:ilvl w:val="0"/>
                <w:numId w:val="0"/>
              </w:numPr>
              <w:ind w:firstLine="480"/>
              <w:jc w:val="left"/>
              <w:keepLines w:val="0"/>
              <w:keepNext w:val="0"/>
              <w:pageBreakBefore w:val="0"/>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i/>
                <w:color w:val="000000" w:themeColor="text1"/>
                <w:sz w:val="24"/>
                <w:szCs w:val="24"/>
                <w:highlight w:val="none"/>
                <w14:textFill>
                  <w14:solidFill>
                    <w14:schemeClr w14:val="tx1"/>
                  </w14:solidFill>
                </w14:textFill>
              </w:rPr>
              <w:t xml:space="preserve">4、</w:t>
            </w:r>
            <w:r>
              <w:rPr>
                <w:rFonts w:hint="eastAsia" w:ascii="宋体" w:hAnsi="宋体" w:cs="宋体"/>
                <w:i/>
                <w:iCs/>
                <w:color w:val="000000" w:themeColor="text1"/>
                <w:sz w:val="24"/>
                <w:szCs w:val="24"/>
                <w:highlight w:val="none"/>
                <w:u w:val="single"/>
                <w14:textFill>
                  <w14:solidFill>
                    <w14:schemeClr w14:val="tx1"/>
                  </w14:solidFill>
                </w14:textFill>
              </w:rPr>
              <w:t xml:space="preserve">翻斗式自动雨量站观测数据可接入</w:t>
            </w:r>
            <w:bookmarkStart w:id="10" w:name="OLE_LINK20"/>
            <w:r/>
            <w:bookmarkStart w:id="11" w:name="OLE_LINK21"/>
            <w:r>
              <w:rPr>
                <w:rFonts w:hint="eastAsia" w:ascii="宋体" w:hAnsi="宋体" w:cs="宋体"/>
                <w:i/>
                <w:iCs/>
                <w:color w:val="000000" w:themeColor="text1"/>
                <w:sz w:val="24"/>
                <w:szCs w:val="24"/>
                <w:highlight w:val="none"/>
                <w:u w:val="single"/>
                <w14:textFill>
                  <w14:solidFill>
                    <w14:schemeClr w14:val="tx1"/>
                  </w14:solidFill>
                </w14:textFill>
              </w:rPr>
              <w:t xml:space="preserve">江苏省气象局</w:t>
            </w:r>
            <w:r>
              <w:rPr>
                <w:rFonts w:hint="eastAsia" w:ascii="宋体" w:hAnsi="宋体" w:cs="宋体"/>
                <w:i/>
                <w:iCs/>
                <w:sz w:val="24"/>
                <w:szCs w:val="24"/>
                <w:highlight w:val="none"/>
                <w:u w:val="single"/>
              </w:rPr>
              <w:t xml:space="preserve">中心站软件系统平台</w:t>
            </w:r>
            <w:r>
              <w:rPr>
                <w:rFonts w:hint="eastAsia" w:ascii="宋体" w:hAnsi="宋体" w:cs="宋体"/>
                <w:b/>
                <w:bCs/>
                <w:i/>
                <w:iCs/>
                <w:color w:val="000000" w:themeColor="text1"/>
                <w:sz w:val="24"/>
                <w:szCs w:val="24"/>
                <w:highlight w:val="none"/>
                <w:u w:val="single"/>
                <w14:textFill>
                  <w14:solidFill>
                    <w14:schemeClr w14:val="tx1"/>
                  </w14:solidFill>
                </w14:textFill>
              </w:rPr>
              <w:t xml:space="preserve">（提供承诺函）</w:t>
            </w:r>
            <w:r>
              <w:rPr>
                <w:rFonts w:hint="eastAsia" w:ascii="宋体" w:hAnsi="宋体" w:cs="宋体"/>
                <w:i/>
                <w:iCs/>
                <w:color w:val="000000" w:themeColor="text1"/>
                <w:sz w:val="24"/>
                <w:szCs w:val="24"/>
                <w:highlight w:val="none"/>
                <w:u w:val="single"/>
                <w14:textFill>
                  <w14:solidFill>
                    <w14:schemeClr w14:val="tx1"/>
                  </w14:solidFill>
                </w14:textFill>
              </w:rPr>
              <w:t xml:space="preserve">。</w:t>
            </w:r>
            <w:bookmarkEnd w:id="10"/>
            <w:r/>
            <w:bookmarkEnd w:id="11"/>
            <w:r/>
            <w:r/>
          </w:p>
        </w:tc>
      </w:tr>
      <w:tr>
        <w:trPr>
          <w:trHeight w:val="90"/>
        </w:trPr>
        <w:tc>
          <w:tcPr>
            <w:tcW w:w="486"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W w:w="7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软件</w:t>
            </w:r>
            <w:r/>
          </w:p>
        </w:tc>
        <w:tc>
          <w:tcPr>
            <w:tcW w:w="7796" w:type="dxa"/>
            <w:vAlign w:val="center"/>
            <w:textDirection w:val="lrTb"/>
            <w:noWrap w:val="false"/>
          </w:tcPr>
          <w:p>
            <w:pPr>
              <w:ind w:firstLine="480"/>
              <w:jc w:val="left"/>
              <w:widowControl/>
              <w:rPr>
                <w:rFonts w:ascii="宋体" w:hAnsi="宋体" w:cs="宋体"/>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1、软件平台能够稳定可靠地运行在国产系统、Windows Server平台上，数据库管理系统要求支持虚谷、达梦等系列。</w:t>
            </w:r>
            <w:r/>
          </w:p>
          <w:p>
            <w:pPr>
              <w:ind w:firstLine="480"/>
              <w:jc w:val="left"/>
              <w:widowControl/>
              <w:rPr>
                <w:rFonts w:ascii="宋体" w:hAnsi="宋体" w:cs="宋体"/>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2、能够实现观测数据的质量控制，具有数据阈值检查、数据内部一致性检查、时间一致性检查、空间一致性检查等功能。</w:t>
            </w:r>
            <w:r/>
          </w:p>
          <w:p>
            <w:pPr>
              <w:ind w:firstLine="480"/>
              <w:jc w:val="left"/>
              <w:widowControl/>
              <w:rPr>
                <w:rFonts w:ascii="宋体" w:hAnsi="宋体" w:cs="宋体"/>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3、具有数据查询和统计能力（包含但不限于按数据类型查询，按时间查询、地区查询、厂家查询、型号查询、日统计查询、到报率查询、是否北斗通信方式等），数据展示方式（GIS、表格、曲线、柱状图、图片等）。能够支持输出日、月、旬常规要素统计的能力。</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4、支持系统业务整体流程运行状态监控包括：气象站硬件设备状态监控、软件运行状态监控、通信传输链路监控、数据传输状态监控、台站供电监控、数据到报率监控、观测数据质量监控。</w:t>
            </w:r>
            <w:r/>
          </w:p>
        </w:tc>
      </w:tr>
      <w:tr>
        <w:trPr>
          <w:trHeight w:val="380"/>
        </w:trPr>
        <w:tc>
          <w:tcPr>
            <w:tcW w:w="486"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W w:w="718" w:type="dxa"/>
            <w:vAlign w:val="center"/>
            <w:textDirection w:val="lrTb"/>
            <w:noWrap w:val="false"/>
          </w:tcPr>
          <w:p>
            <w:pPr>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气象服务插件</w:t>
            </w:r>
            <w:r/>
          </w:p>
        </w:tc>
        <w:tc>
          <w:tcPr>
            <w:tcW w:w="7796" w:type="dxa"/>
            <w:vAlign w:val="center"/>
            <w:textDirection w:val="lrTb"/>
            <w:noWrap w:val="false"/>
          </w:tcPr>
          <w:p>
            <w:pPr>
              <w:numPr>
                <w:ilvl w:val="0"/>
                <w:numId w:val="0"/>
              </w:numPr>
              <w:rPr>
                <w:rFonts w:hint="eastAsia"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基于新建自动站和雨量站的观测资料，集成多源气象观测数据，实现雨量、气温、湿度、风速风向、气压、能见度等气象要素的实时监测与多维度分析，支持以要素填图、色斑图、等值线、风羽图等形式展示数据。</w:t>
            </w:r>
            <w:r/>
          </w:p>
          <w:p>
            <w:pPr>
              <w:numPr>
                <w:ilvl w:val="0"/>
                <w:numId w:val="0"/>
              </w:numPr>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提供多要素叠加分析、数据统计、时序分析等功能。</w:t>
            </w:r>
            <w:r/>
          </w:p>
          <w:p>
            <w:pPr>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智能分析气象要素监测数据，结合各要素预设的报警阈值，对强降水、大风、大雾等灾害性天气进行实时监测与报警。报警信息通过图标闪烁、落区高亮、文字播报等形式进行提醒与展示。</w:t>
            </w:r>
            <w:r/>
          </w:p>
          <w:p>
            <w:pPr>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.面向水利、住建、交通等行业精细化气象服务需求，提供雷达回波、再分析实况、智能网格服务等网页插件，实现产品的交互共享。</w:t>
            </w:r>
            <w:r/>
          </w:p>
          <w:p>
            <w:pPr>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.对接市大数据共享平台，提供标准化API及数据推送服务，支持气象灾害预警信息实时订阅、预报产品自动化调用，满足跨系统数据融合需求‌。</w:t>
            </w:r>
            <w:r/>
          </w:p>
          <w:p>
            <w:pPr>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.基于用户角色控制技术，提供角色管理、用户管理、角色权限管理等功能，对数据的访问权限统一控制，对产品的操作权限统一管理。</w:t>
            </w:r>
            <w:r/>
          </w:p>
          <w:p>
            <w:pPr>
              <w:pStyle w:val="790"/>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上述相应服务由投标人提供相应的技术支持。</w:t>
            </w:r>
            <w:r/>
          </w:p>
        </w:tc>
      </w:tr>
      <w:tr>
        <w:trPr>
          <w:trHeight w:val="1113"/>
        </w:trPr>
        <w:tc>
          <w:tcPr>
            <w:tcW w:w="486"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c>
          <w:tcPr>
            <w:tcW w:w="7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bookmarkStart w:id="12" w:name="OLE_LINK1"/>
            <w:r>
              <w:rPr>
                <w:rFonts w:hint="eastAsia" w:ascii="宋体" w:hAnsi="宋体" w:cs="宋体"/>
                <w:color w:val="000000" w:themeColor="text1"/>
                <w:sz w:val="24"/>
                <w:szCs w:val="24"/>
                <w14:textFill>
                  <w14:solidFill>
                    <w14:schemeClr w14:val="tx1"/>
                  </w14:solidFill>
                </w14:textFill>
              </w:rPr>
              <w:t xml:space="preserve">国家站标准化提升改造</w:t>
            </w:r>
            <w:bookmarkEnd w:id="12"/>
            <w:r>
              <w:rPr>
                <w:rFonts w:hint="eastAsia" w:ascii="宋体" w:hAnsi="宋体" w:cs="宋体"/>
                <w:color w:val="000000" w:themeColor="text1"/>
                <w:sz w:val="24"/>
                <w:szCs w:val="24"/>
                <w14:textFill>
                  <w14:solidFill>
                    <w14:schemeClr w14:val="tx1"/>
                  </w14:solidFill>
                </w14:textFill>
              </w:rPr>
              <w:t xml:space="preserve">备件</w:t>
            </w:r>
            <w:r/>
          </w:p>
        </w:tc>
        <w:tc>
          <w:tcPr>
            <w:tcW w:w="7796" w:type="dxa"/>
            <w:vAlign w:val="center"/>
            <w:textDirection w:val="lrTb"/>
            <w:noWrap w:val="false"/>
          </w:tcPr>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1、数据采集系统（主站）（1套）：1）32位操作系统，程序执行频率可达到200MHz；2）24位高精度模-数转换；3）自持式高精度实时时钟；月误差小于15S； 4）为保证准确测量，在时间和温度变化时。</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2、数据采集系统（辅站）（1套）：1）32位操作系统，程序执行频率可达到200MHz；2）24位高精度模-数转换；3）自持式高精度实时时钟；月误差小于15S； 4）为保证准确测量，在时间和温度变化时，系统自标定；5）以文件方式存储观测记录 ：8M内存</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rPr>
                <w:rFonts w:hint="eastAsia" w:ascii="宋体" w:hAnsi="宋体" w:cs="宋体"/>
                <w:color w:val="000000" w:themeColor="text1"/>
                <w:sz w:val="24"/>
                <w:szCs w:val="24"/>
                <w14:textFill>
                  <w14:solidFill>
                    <w14:schemeClr w14:val="tx1"/>
                  </w14:solidFill>
                </w14:textFill>
              </w:rPr>
              <w:t xml:space="preserve"> </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3、温湿度分采集系统（1套）：分采集器硬件包含高性能嵌入式处理器、高精度A/D 电路、参数存储器、传感器接口、CAN总线接口、RS-232终端调试端口、监测电路、指示灯，硬件系统支持运行嵌入式实时操作系统。分采集器对挂接的传感器按预定的采样频率进行扫描，收到主采集器发送的同步信号后，将获得的采样数据通过总线发送给主采集器。在不更改任何硬件设备的前提下，可以通过本地终端对分采集器嵌入式软件进行版本升级。</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4、地温分采集器（1套）：主采集器和分采集器之间采用双绞线CAN总线方式连接，双工通信。</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5、综合集成硬件控制器（主站）（1套）：(1)4个RS-232/485/422（ZigBee或ST光纤）接口，用于连接观测设备。(2)1个RJ45接口，用于以太网信号输出。(3)1个RJ45接口，用于多个通信控制模块级联。(4)1对ST光纤收发接口，用于连接室内机（光电转换模块）传输数据。(5)1个USB接口，用于设备调试。</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6、综合集成硬件控制器（辅站）（1套）：(1)4个RS-232/485/422（ZigBee或ST光纤）接口，用于连接观测设备。(2)1个RJ45接口，用于以太网信号输出。(3)1个RJ45接口，用于多个通信控制模块级联。(4)1个USB接口，用于设备调试。(5)1个SD卡插槽，用于扩展设备存储空间。</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7、光纤转换器（1套）：ST光纤收发接口，用于连接室内机（光电转换模块）传输数据。</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8、风向风速传感器（1套）：范围：0～360°，分辨率：3°，最大允许误差±5°范围：0～60m/s，分辨率：0.1m/s，最大允许误差±（0.5+0.03V）m/s</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9、高精度温度传感器（1套）：范围：-50℃～50℃、分辨率：0.1℃</w:t>
            </w:r>
            <w:r>
              <w:tab/>
            </w:r>
            <w:r>
              <w:rPr>
                <w:rFonts w:hint="eastAsia" w:ascii="宋体" w:hAnsi="宋体" w:cs="宋体"/>
                <w:color w:val="000000" w:themeColor="text1"/>
                <w:sz w:val="24"/>
                <w:szCs w:val="24"/>
                <w14:textFill>
                  <w14:solidFill>
                    <w14:schemeClr w14:val="tx1"/>
                  </w14:solidFill>
                </w14:textFill>
              </w:rPr>
              <w:t xml:space="preserve">、最大允许误差：±0.2℃。</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10、湿度传感器（1套）：范围：5%～100%RH、分辨率：1%RH、最大允许误差±3%（≤80%）±5%（＞80%）</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11、气压传感器（1套）：范围：500~1100 hPa，分辨率：0.1 hPa，最大允许误差±0.3hPa</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12、地温传感器（1套）：（地表1支；浅层4支；深层4支；草温1支）：地表温度：范围：-50℃～80℃；分辨率：0.1℃；最大允许误差：±0.2℃（-50～50℃） ；±0.5℃（50～80℃）、</w:t>
            </w:r>
            <w:r/>
          </w:p>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浅层地温：范围：-40℃～80℃；分辨率：0.1℃；最大允许误差：±0.3℃</w:t>
            </w:r>
            <w:r/>
          </w:p>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深层低温：范围：-30℃～40℃；分辨率：0.1℃；最大允许误差：±0.3℃</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13、能见度传感器（1套）：范围：10～30000m、分辨力：1m、最大允许误差：±10%（≤10000m）±20%（＞10000m）</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14、称重降水传感器（1套）：范围：0～200mm</w:t>
            </w:r>
            <w:r>
              <w:tab/>
            </w:r>
            <w:r>
              <w:rPr>
                <w:rFonts w:hint="eastAsia" w:ascii="宋体" w:hAnsi="宋体" w:cs="宋体"/>
                <w:color w:val="000000" w:themeColor="text1"/>
                <w:sz w:val="24"/>
                <w:szCs w:val="24"/>
                <w14:textFill>
                  <w14:solidFill>
                    <w14:schemeClr w14:val="tx1"/>
                  </w14:solidFill>
                </w14:textFill>
              </w:rPr>
              <w:t xml:space="preserve">分辨力：0.1mm</w:t>
            </w:r>
            <w:r>
              <w:tab/>
            </w:r>
            <w:r>
              <w:rPr>
                <w:rFonts w:hint="eastAsia" w:ascii="宋体" w:hAnsi="宋体" w:cs="宋体"/>
                <w:color w:val="000000" w:themeColor="text1"/>
                <w:sz w:val="24"/>
                <w:szCs w:val="24"/>
                <w14:textFill>
                  <w14:solidFill>
                    <w14:schemeClr w14:val="tx1"/>
                  </w14:solidFill>
                </w14:textFill>
              </w:rPr>
              <w:t xml:space="preserve">、最大允许误差：±0.4mm(≤10mm)±4%（＞10mm）</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15、自动日照仪传感器（1套）：分辨力：0.1h</w:t>
            </w:r>
            <w:r>
              <w:tab/>
            </w:r>
            <w:r>
              <w:rPr>
                <w:rFonts w:hint="eastAsia" w:ascii="宋体" w:hAnsi="宋体" w:cs="宋体"/>
                <w:color w:val="000000" w:themeColor="text1"/>
                <w:sz w:val="24"/>
                <w:szCs w:val="24"/>
                <w14:textFill>
                  <w14:solidFill>
                    <w14:schemeClr w14:val="tx1"/>
                  </w14:solidFill>
                </w14:textFill>
              </w:rPr>
              <w:t xml:space="preserve">最大允许误差：±10%（月累计误差）</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16、视程障碍现象仪传感器（1套）：测量范围：PM10：（0～2500）μg/m3 ，PM2.5：（0～1000）μg/m3，PM1：（0～1000）μg/m3。分辨率：0.1μg/m3。允许误差：不大于±20 μg/m3（浓度≤100 μg/m3），不大于±20%（浓度&gt;100 μg/m3）。</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17、雪深观测仪传感器（1套）：雪深传感器采用激光测距单元，其测量的雪深范围为 0～200cm；最大允许误差为：±1cm；分辨力为：0.1cm。</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18、交流供电系统（1套）：满足中国气象局规范。满足设备供电需求。</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19、设备防雷组件（1套）：满足中国气象局规范。满足设备防雷需求。</w:t>
            </w:r>
            <w:r/>
          </w:p>
          <w:p>
            <w:pPr>
              <w:ind w:firstLine="480"/>
              <w:jc w:val="left"/>
              <w:widowControl/>
              <w:rPr>
                <w:rFonts w:ascii="宋体" w:hAnsi="宋体" w:cs="宋体"/>
                <w:color w:val="000000" w:themeColor="text1"/>
                <w:sz w:val="24"/>
                <w:szCs w:val="24"/>
                <w14:textFill>
                  <w14:solidFill>
                    <w14:schemeClr w14:val="tx1"/>
                  </w14:solidFill>
                </w14:textFill>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20、线缆（1套）：50米光纤</w:t>
            </w:r>
            <w:r/>
          </w:p>
        </w:tc>
      </w:tr>
      <w:tr>
        <w:trPr>
          <w:trHeight w:val="416"/>
        </w:trPr>
        <w:tc>
          <w:tcPr>
            <w:tcW w:w="486"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p>
        </w:tc>
        <w:tc>
          <w:tcPr>
            <w:tcW w:w="7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五要素自动站备件</w:t>
            </w:r>
            <w:r/>
          </w:p>
        </w:tc>
        <w:tc>
          <w:tcPr>
            <w:tcW w:w="7796" w:type="dxa"/>
            <w:vAlign w:val="center"/>
            <w:textDirection w:val="lrTb"/>
            <w:noWrap w:val="false"/>
          </w:tcPr>
          <w:p>
            <w:pPr>
              <w:ind w:firstLine="480"/>
              <w:jc w:val="left"/>
              <w:widowControl/>
              <w:rPr>
                <w:rFonts w:hint="eastAsia" w:ascii="宋体" w:hAnsi="宋体" w:eastAsia="宋体" w:cs="宋体"/>
                <w:sz w:val="24"/>
                <w:szCs w:val="24"/>
                <w:highlight w:val="none"/>
                <w:lang w:eastAsia="zh-CN"/>
              </w:rPr>
            </w:pPr>
            <w:r/>
            <w:bookmarkStart w:id="13" w:name="OLE_LINK7"/>
            <w:r/>
            <w:bookmarkStart w:id="14" w:name="OLE_LINK8"/>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sz w:val="24"/>
                <w:szCs w:val="24"/>
                <w:highlight w:val="none"/>
              </w:rPr>
              <w:t xml:space="preserve">1、数据采集系统（1套）:数据采集器是自动站的核心，其主要功能是数据采集、数据处理、数据存储和数据传输。1）支持GPRS远程数据传输。2）8个可配置模拟传感器输入。3）4个串行“智能传感器”接口。4）支持CAN bus总线组网。5）支持CF卡传输数据及程序</w:t>
            </w:r>
            <w:r>
              <w:rPr>
                <w:rFonts w:hint="eastAsia" w:ascii="宋体" w:hAnsi="宋体" w:cs="宋体"/>
                <w:sz w:val="24"/>
                <w:szCs w:val="24"/>
                <w:highlight w:val="none"/>
                <w:lang w:eastAsia="zh-CN"/>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bookmarkEnd w:id="13"/>
            <w:bookmarkEnd w:id="14"/>
            <w:r/>
          </w:p>
          <w:p>
            <w:pPr>
              <w:ind w:firstLine="480"/>
              <w:jc w:val="left"/>
              <w:widowControl/>
              <w:rPr>
                <w:rFonts w:ascii="宋体" w:hAnsi="宋体" w:cs="宋体"/>
                <w:sz w:val="24"/>
                <w:szCs w:val="24"/>
                <w:highlight w:val="none"/>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sz w:val="24"/>
                <w:szCs w:val="24"/>
                <w:highlight w:val="none"/>
              </w:rPr>
              <w:t xml:space="preserve">2、温湿度传感器（1套）：5%～100%、分辨率：1%、最大允许误差：±3%（≤80%）±5%（＞80%）；-50℃～50℃、分辨率：0.1℃、最大允许误差：±0.2℃。</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宋体"/>
                <w:sz w:val="24"/>
                <w:szCs w:val="24"/>
                <w:highlight w:val="none"/>
              </w:rPr>
            </w:pPr>
            <w:r/>
            <w:bookmarkStart w:id="15" w:name="OLE_LINK30"/>
            <w:r/>
            <w:bookmarkStart w:id="16" w:name="OLE_LINK29"/>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sz w:val="24"/>
                <w:szCs w:val="24"/>
                <w:highlight w:val="none"/>
              </w:rPr>
              <w:t xml:space="preserve">3、</w:t>
            </w:r>
            <w:bookmarkStart w:id="17" w:name="OLE_LINK32"/>
            <w:r/>
            <w:bookmarkStart w:id="18" w:name="OLE_LINK31"/>
            <w:r>
              <w:rPr>
                <w:rFonts w:hint="eastAsia" w:ascii="宋体" w:hAnsi="宋体" w:cs="宋体"/>
                <w:sz w:val="24"/>
                <w:szCs w:val="24"/>
                <w:highlight w:val="none"/>
              </w:rPr>
              <w:t xml:space="preserve">风向风速传感器（1套）：风向测量范围0～360°、分辨率：3°、最大允许误差：±5°；风速测量范围：0～60m/s、分辨率：0.1m/s、最大允许误差：±（0.5+0.03V）m/s。</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bookmarkEnd w:id="15"/>
            <w:bookmarkEnd w:id="16"/>
            <w:bookmarkEnd w:id="17"/>
            <w:bookmarkEnd w:id="18"/>
            <w:r/>
          </w:p>
          <w:p>
            <w:pPr>
              <w:ind w:firstLine="480"/>
              <w:jc w:val="left"/>
              <w:widowControl/>
              <w:rPr>
                <w:rFonts w:ascii="宋体" w:hAnsi="宋体" w:cs="宋体"/>
                <w:sz w:val="24"/>
                <w:szCs w:val="24"/>
                <w:highlight w:val="none"/>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sz w:val="24"/>
                <w:szCs w:val="24"/>
                <w:highlight w:val="none"/>
              </w:rPr>
              <w:t xml:space="preserve">4、雨量传感器（1套）：测量范围：雨强0～4mm/min、分辨率：0.1mm、最大允许误差：±0.4mm（≤10mm）、±4%（＞10mm）。</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r/>
          </w:p>
          <w:p>
            <w:pPr>
              <w:ind w:firstLine="480"/>
              <w:jc w:val="left"/>
              <w:widowControl/>
              <w:rPr>
                <w:rFonts w:ascii="宋体" w:hAnsi="宋体" w:cs="Arial"/>
                <w:b/>
                <w:i/>
                <w:iCs/>
                <w:sz w:val="24"/>
                <w:szCs w:val="24"/>
                <w:highlight w:val="none"/>
                <w:u w:val="single"/>
              </w:rPr>
            </w:pPr>
            <w:r/>
            <w:bookmarkStart w:id="19" w:name="OLE_LINK9"/>
            <w:r/>
            <w:bookmarkStart w:id="20" w:name="OLE_LINK10"/>
            <w:r>
              <w:rPr>
                <w:rFonts w:hint="eastAsia" w:ascii="宋体" w:hAnsi="宋体" w:cs="Arial"/>
                <w:bCs/>
                <w:i/>
                <w:iCs/>
                <w:sz w:val="24"/>
                <w:szCs w:val="24"/>
                <w:highlight w:val="none"/>
                <w:u w:val="single"/>
              </w:rPr>
              <w:t xml:space="preserve">5、五要素自动站取得中国气象局颁发的自动气象站气象专用技术装备使用许可证。</w:t>
            </w:r>
            <w:r>
              <w:rPr>
                <w:rFonts w:hint="eastAsia" w:ascii="宋体" w:hAnsi="宋体" w:cs="Arial"/>
                <w:b/>
                <w:i/>
                <w:iCs/>
                <w:sz w:val="24"/>
                <w:szCs w:val="24"/>
                <w:highlight w:val="none"/>
                <w:u w:val="single"/>
              </w:rPr>
              <w:t xml:space="preserve">（提供许可证书原件，扫描上传。）</w:t>
            </w:r>
            <w:r/>
          </w:p>
          <w:p>
            <w:pPr>
              <w:ind w:firstLine="480"/>
              <w:jc w:val="left"/>
              <w:widowControl/>
              <w:rPr>
                <w:rFonts w:hint="eastAsia" w:ascii="宋体" w:hAnsi="宋体" w:cs="Arial"/>
                <w:b/>
                <w:i/>
                <w:iCs/>
                <w:color w:val="auto"/>
                <w:sz w:val="24"/>
                <w:szCs w:val="24"/>
                <w:u w:val="single"/>
              </w:rPr>
            </w:pPr>
            <w:r>
              <w:rPr>
                <w:rFonts w:hint="eastAsia" w:ascii="宋体" w:hAnsi="宋体" w:cs="宋体"/>
                <w:i/>
                <w:iCs/>
                <w:sz w:val="24"/>
                <w:szCs w:val="24"/>
                <w:highlight w:val="none"/>
                <w:u w:val="single"/>
              </w:rPr>
              <w:t xml:space="preserve">6、五要素自动站数据应能统一接入</w:t>
            </w:r>
            <w:r>
              <w:rPr>
                <w:rFonts w:hint="eastAsia" w:ascii="宋体" w:hAnsi="宋体" w:cs="宋体"/>
                <w:i/>
                <w:iCs/>
                <w:color w:val="000000" w:themeColor="text1"/>
                <w:sz w:val="24"/>
                <w:szCs w:val="24"/>
                <w:highlight w:val="none"/>
                <w:u w:val="single"/>
                <w14:textFill>
                  <w14:solidFill>
                    <w14:schemeClr w14:val="tx1"/>
                  </w14:solidFill>
                </w14:textFill>
              </w:rPr>
              <w:t xml:space="preserve">江苏省气象局</w:t>
            </w:r>
            <w:r>
              <w:rPr>
                <w:rFonts w:hint="eastAsia" w:ascii="宋体" w:hAnsi="宋体" w:cs="宋体"/>
                <w:i/>
                <w:iCs/>
                <w:sz w:val="24"/>
                <w:szCs w:val="24"/>
                <w:highlight w:val="none"/>
                <w:u w:val="single"/>
              </w:rPr>
              <w:t xml:space="preserve">中心站软件系统平台</w:t>
            </w:r>
            <w:bookmarkStart w:id="21" w:name="OLE_LINK23"/>
            <w:r/>
            <w:bookmarkStart w:id="22" w:name="OLE_LINK24"/>
            <w:r>
              <w:rPr>
                <w:rFonts w:hint="eastAsia" w:ascii="宋体" w:hAnsi="宋体" w:cs="宋体"/>
                <w:b/>
                <w:bCs/>
                <w:i/>
                <w:iCs/>
                <w:color w:val="000000" w:themeColor="text1"/>
                <w:sz w:val="24"/>
                <w:szCs w:val="24"/>
                <w:highlight w:val="none"/>
                <w:u w:val="single"/>
                <w14:textFill>
                  <w14:solidFill>
                    <w14:schemeClr w14:val="tx1"/>
                  </w14:solidFill>
                </w14:textFill>
              </w:rPr>
              <w:t xml:space="preserve">（提供承诺函，格式自拟）</w:t>
            </w:r>
            <w:bookmarkEnd w:id="21"/>
            <w:r/>
            <w:bookmarkEnd w:id="22"/>
            <w:r>
              <w:rPr>
                <w:rFonts w:hint="eastAsia" w:ascii="宋体" w:hAnsi="宋体" w:cs="宋体"/>
                <w:i/>
                <w:iCs/>
                <w:color w:val="000000" w:themeColor="text1"/>
                <w:sz w:val="24"/>
                <w:szCs w:val="24"/>
                <w:highlight w:val="none"/>
                <w:u w:val="single"/>
                <w14:textFill>
                  <w14:solidFill>
                    <w14:schemeClr w14:val="tx1"/>
                  </w14:solidFill>
                </w14:textFill>
              </w:rPr>
              <w:t xml:space="preserve">。</w:t>
            </w:r>
            <w:bookmarkEnd w:id="19"/>
            <w:r/>
            <w:bookmarkEnd w:id="20"/>
            <w:r/>
            <w:r/>
          </w:p>
        </w:tc>
      </w:tr>
      <w:tr>
        <w:trPr>
          <w:trHeight w:val="325"/>
        </w:trPr>
        <w:tc>
          <w:tcPr>
            <w:tcW w:w="486"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w:t>
            </w:r>
            <w:r/>
          </w:p>
        </w:tc>
        <w:tc>
          <w:tcPr>
            <w:tcW w:w="718"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翻斗式自动雨量站备件</w:t>
            </w:r>
            <w:r/>
          </w:p>
        </w:tc>
        <w:tc>
          <w:tcPr>
            <w:tcW w:w="7796" w:type="dxa"/>
            <w:vAlign w:val="center"/>
            <w:textDirection w:val="lrTb"/>
            <w:noWrap w:val="false"/>
          </w:tcPr>
          <w:p>
            <w:pPr>
              <w:ind w:firstLine="480"/>
              <w:jc w:val="left"/>
              <w:widowControl/>
              <w:rPr>
                <w:rFonts w:ascii="宋体" w:hAnsi="宋体" w:cs="宋体"/>
                <w:sz w:val="24"/>
                <w:szCs w:val="24"/>
                <w:highlight w:val="none"/>
              </w:rPr>
            </w:pPr>
            <w:r/>
            <w:bookmarkStart w:id="23" w:name="OLE_LINK27"/>
            <w:r/>
            <w:bookmarkStart w:id="24" w:name="OLE_LINK28"/>
            <w:r/>
            <w:bookmarkStart w:id="25" w:name="OLE_LINK13"/>
            <w:r/>
            <w:bookmarkStart w:id="26" w:name="OLE_LINK14"/>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sz w:val="24"/>
                <w:szCs w:val="24"/>
                <w:highlight w:val="none"/>
              </w:rPr>
              <w:t xml:space="preserve">1、数据采集系统（1套）:自动气象站的核心，主要负责采集挂接传感器的数据，按统一的规范进行处理、存储、传输。1）内置高精度的 A/D 电路、实时时钟电路。2）</w:t>
            </w:r>
            <w:bookmarkStart w:id="27" w:name="OLE_LINK25"/>
            <w:r/>
            <w:bookmarkStart w:id="28" w:name="OLE_LINK26"/>
            <w:r>
              <w:rPr>
                <w:rFonts w:hint="eastAsia" w:ascii="宋体" w:hAnsi="宋体" w:cs="宋体"/>
                <w:sz w:val="24"/>
                <w:szCs w:val="24"/>
                <w:highlight w:val="none"/>
              </w:rPr>
              <w:t xml:space="preserve">内置数据</w:t>
            </w:r>
            <w:bookmarkEnd w:id="27"/>
            <w:r/>
            <w:bookmarkEnd w:id="28"/>
            <w:r>
              <w:rPr>
                <w:rFonts w:hint="eastAsia" w:ascii="宋体" w:hAnsi="宋体" w:cs="宋体"/>
                <w:sz w:val="24"/>
                <w:szCs w:val="24"/>
                <w:highlight w:val="none"/>
              </w:rPr>
              <w:t xml:space="preserve">存储器，存储气象要素数据、运行状态信息等。3）具有 RS-232 通信接口。</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bookmarkEnd w:id="23"/>
            <w:bookmarkEnd w:id="24"/>
            <w:r/>
          </w:p>
          <w:p>
            <w:pPr>
              <w:ind w:firstLine="480"/>
              <w:jc w:val="left"/>
              <w:widowControl/>
              <w:rPr>
                <w:rFonts w:ascii="宋体" w:hAnsi="宋体" w:cs="宋体"/>
                <w:sz w:val="24"/>
                <w:szCs w:val="24"/>
                <w:highlight w:val="none"/>
              </w:rPr>
            </w:pP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sz w:val="24"/>
                <w:szCs w:val="24"/>
                <w:highlight w:val="none"/>
              </w:rPr>
              <w:t xml:space="preserve">2、雨量传感器（1套）: 测量范围：雨强0～4mm/min、分辨率：0.1mm、最大允许误差：±0.4mm（≤10mm）、±4%（＞10mm）。</w:t>
            </w:r>
            <w:r>
              <w:rPr>
                <w:rFonts w:hint="eastAsia" w:ascii="宋体" w:hAnsi="宋体" w:cs="宋体"/>
                <w:b/>
                <w:bCs/>
                <w:color w:val="000000" w:themeColor="text1"/>
                <w:sz w:val="24"/>
                <w:szCs w:val="24"/>
                <w:highlight w:val="none"/>
                <w14:textFill>
                  <w14:solidFill>
                    <w14:schemeClr w14:val="tx1"/>
                  </w14:solidFill>
                </w14:textFill>
              </w:rPr>
              <w:t xml:space="preserve">（提供用户手册参数页）</w:t>
            </w:r>
            <w:bookmarkEnd w:id="25"/>
            <w:bookmarkEnd w:id="26"/>
            <w:r/>
          </w:p>
          <w:p>
            <w:pPr>
              <w:ind w:firstLine="480"/>
              <w:jc w:val="left"/>
              <w:widowControl/>
              <w:rPr>
                <w:rFonts w:ascii="宋体" w:hAnsi="宋体" w:cs="宋体"/>
                <w:b/>
                <w:bCs/>
                <w:i/>
                <w:iCs/>
                <w:sz w:val="24"/>
                <w:szCs w:val="24"/>
                <w:highlight w:val="none"/>
                <w:u w:val="single"/>
              </w:rPr>
            </w:pPr>
            <w:r>
              <w:rPr>
                <w:rFonts w:hint="eastAsia" w:ascii="宋体" w:hAnsi="宋体" w:cs="宋体"/>
                <w:i/>
                <w:iCs/>
                <w:sz w:val="24"/>
                <w:szCs w:val="24"/>
                <w:highlight w:val="none"/>
                <w:u w:val="single"/>
              </w:rPr>
              <w:t xml:space="preserve">3、</w:t>
            </w:r>
            <w:r>
              <w:rPr>
                <w:rFonts w:ascii="宋体" w:hAnsi="宋体" w:cs="Arial"/>
                <w:bCs/>
                <w:i/>
                <w:iCs/>
                <w:sz w:val="24"/>
                <w:szCs w:val="24"/>
                <w:highlight w:val="none"/>
                <w:u w:val="single"/>
              </w:rPr>
              <w:t xml:space="preserve">翻斗式自动雨量站</w:t>
            </w:r>
            <w:r>
              <w:rPr>
                <w:rFonts w:hint="eastAsia" w:ascii="宋体" w:hAnsi="宋体" w:cs="Arial"/>
                <w:bCs/>
                <w:i/>
                <w:iCs/>
                <w:sz w:val="24"/>
                <w:szCs w:val="24"/>
                <w:highlight w:val="none"/>
                <w:u w:val="single"/>
              </w:rPr>
              <w:t xml:space="preserve">具有中国气象局颁发的气象专用技术装备使用许可证</w:t>
            </w:r>
            <w:r>
              <w:rPr>
                <w:rFonts w:hint="eastAsia" w:ascii="宋体" w:hAnsi="宋体" w:cs="Arial"/>
                <w:b/>
                <w:i/>
                <w:iCs/>
                <w:sz w:val="24"/>
                <w:szCs w:val="24"/>
                <w:highlight w:val="none"/>
                <w:u w:val="single"/>
              </w:rPr>
              <w:t xml:space="preserve">（提供许可证书原件，扫描上传）。</w:t>
            </w:r>
            <w:r/>
          </w:p>
          <w:p>
            <w:pPr>
              <w:ind w:firstLine="480"/>
              <w:jc w:val="left"/>
              <w:widowControl/>
              <w:rPr>
                <w:rFonts w:hint="eastAsia" w:ascii="宋体" w:hAnsi="宋体" w:eastAsia="宋体" w:cs="宋体"/>
                <w:b/>
                <w:bCs/>
                <w:i/>
                <w:iCs/>
                <w:color w:val="auto"/>
                <w:sz w:val="24"/>
                <w:szCs w:val="24"/>
                <w:u w:val="single"/>
                <w:lang w:val="en-US" w:eastAsia="zh-CN"/>
              </w:rPr>
            </w:pPr>
            <w:r>
              <w:rPr>
                <w:rFonts w:hint="eastAsia" w:ascii="宋体" w:hAnsi="宋体" w:cs="宋体"/>
                <w:i/>
                <w:iCs/>
                <w:sz w:val="24"/>
                <w:szCs w:val="24"/>
                <w:highlight w:val="none"/>
                <w:u w:val="single"/>
              </w:rPr>
              <w:t xml:space="preserve">4、翻斗式自动雨量站数据应能统一接入江苏省气象局中心站软件系统平台（提供承诺函，格式自拟）。</w:t>
            </w:r>
            <w:r/>
          </w:p>
        </w:tc>
      </w:tr>
    </w:tbl>
    <w:p>
      <w:pPr>
        <w:pBdr>
          <w:top w:val="none" w:color="000000" w:sz="0" w:space="0"/>
          <w:left w:val="none" w:color="000000" w:sz="0" w:space="0"/>
          <w:bottom w:val="none" w:color="000000" w:sz="0" w:space="0"/>
          <w:right w:val="none" w:color="000000" w:sz="0" w:space="0"/>
        </w:pBdr>
      </w:pPr>
      <w:r/>
      <w:r/>
    </w:p>
    <w:p>
      <w:pPr>
        <w:jc w:val="left"/>
        <w:spacing w:after="120" w:line="276" w:lineRule="auto"/>
        <w:rPr>
          <w:i w:val="0"/>
          <w:iCs w:val="0"/>
          <w:sz w:val="24"/>
          <w:szCs w:val="24"/>
          <w:u w:val="none"/>
        </w:rPr>
      </w:pPr>
      <w:r>
        <w:rPr>
          <w:rFonts w:hint="eastAsia" w:ascii="宋体" w:hAnsi="宋体"/>
          <w:i w:val="0"/>
          <w:iCs w:val="0"/>
          <w:sz w:val="24"/>
          <w:szCs w:val="24"/>
          <w:u w:val="none"/>
        </w:rPr>
        <w:t xml:space="preserve">绿色数据中心需求标准（</w:t>
      </w:r>
      <w:r>
        <w:rPr>
          <w:rFonts w:hint="eastAsia"/>
          <w:i w:val="0"/>
          <w:iCs w:val="0"/>
          <w:sz w:val="24"/>
          <w:szCs w:val="24"/>
          <w:u w:val="none"/>
        </w:rPr>
        <w:t xml:space="preserve">以太网交换机</w:t>
      </w:r>
      <w:r>
        <w:rPr>
          <w:rFonts w:hint="eastAsia" w:ascii="宋体" w:hAnsi="宋体"/>
          <w:i w:val="0"/>
          <w:iCs w:val="0"/>
          <w:sz w:val="24"/>
          <w:szCs w:val="24"/>
          <w:u w:val="none"/>
        </w:rPr>
        <w:t xml:space="preserve">）</w:t>
      </w:r>
      <w:r/>
    </w:p>
    <w:tbl>
      <w:tblPr>
        <w:tblStyle w:val="761"/>
        <w:tblW w:w="0" w:type="auto"/>
        <w:tblInd w:w="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9"/>
        <w:gridCol w:w="2190"/>
        <w:gridCol w:w="18"/>
        <w:gridCol w:w="1684"/>
        <w:gridCol w:w="1266"/>
        <w:gridCol w:w="3318"/>
      </w:tblGrid>
      <w:tr>
        <w:trPr/>
        <w:tc>
          <w:tcPr>
            <w:tcW w:w="489" w:type="dxa"/>
            <w:vAlign w:val="center"/>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c>
          <w:tcPr>
            <w:gridSpan w:val="3"/>
            <w:shd w:val="clear" w:color="auto" w:fill="d8d8d8"/>
            <w:tcW w:w="3892"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指标</w:t>
            </w:r>
            <w:r/>
          </w:p>
        </w:tc>
        <w:tc>
          <w:tcPr>
            <w:shd w:val="clear" w:color="auto" w:fill="d8d8d8"/>
            <w:tcW w:w="1266"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限制值</w:t>
            </w:r>
            <w:r/>
          </w:p>
        </w:tc>
        <w:tc>
          <w:tcPr>
            <w:shd w:val="clear" w:color="auto" w:fill="d8d8d8"/>
            <w:tcW w:w="3318"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判定依据/方法</w:t>
            </w:r>
            <w:r/>
          </w:p>
        </w:tc>
      </w:tr>
      <w:tr>
        <w:trPr/>
        <w:tc>
          <w:tcPr>
            <w:tcW w:w="489"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1</w:t>
            </w:r>
            <w:r/>
          </w:p>
        </w:tc>
        <w:tc>
          <w:tcPr>
            <w:gridSpan w:val="3"/>
            <w:tcW w:w="3892"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固定端口以太网交换机能效比值（TEER）</w:t>
            </w:r>
            <w:r/>
          </w:p>
        </w:tc>
        <w:tc>
          <w:tcPr>
            <w:tcW w:w="1266"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≥300</w:t>
            </w:r>
            <w:r/>
          </w:p>
        </w:tc>
        <w:tc>
          <w:tcPr>
            <w:tcW w:w="33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检测方法依据附录E中要求</w:t>
            </w:r>
            <w:r/>
          </w:p>
        </w:tc>
      </w:tr>
      <w:tr>
        <w:trPr/>
        <w:tc>
          <w:tcPr>
            <w:tcW w:w="489" w:type="dxa"/>
            <w:vAlign w:val="center"/>
            <w:vMerge w:val="restart"/>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2</w:t>
            </w:r>
            <w:r/>
          </w:p>
        </w:tc>
        <w:tc>
          <w:tcPr>
            <w:gridSpan w:val="2"/>
            <w:tcW w:w="2208" w:type="dxa"/>
            <w:vAlign w:val="center"/>
            <w:vMerge w:val="restart"/>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单路电源输出效率</w:t>
            </w:r>
            <w:r/>
          </w:p>
        </w:tc>
        <w:tc>
          <w:tcPr>
            <w:tcW w:w="1684"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20%负载</w:t>
            </w:r>
            <w:r/>
          </w:p>
        </w:tc>
        <w:tc>
          <w:tcPr>
            <w:tcW w:w="1266"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≥88%</w:t>
            </w:r>
            <w:r/>
          </w:p>
        </w:tc>
        <w:tc>
          <w:tcPr>
            <w:tcW w:w="3318"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检测方法依据HJ 2507附录B要求</w:t>
            </w:r>
            <w:r/>
          </w:p>
        </w:tc>
      </w:tr>
      <w:tr>
        <w:trPr>
          <w:trHeight w:val="544"/>
        </w:trPr>
        <w:tc>
          <w:tcPr>
            <w:tcW w:w="489"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c>
          <w:tcPr>
            <w:gridSpan w:val="2"/>
            <w:tcW w:w="2208"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c>
          <w:tcPr>
            <w:tcW w:w="1684"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50%负载</w:t>
            </w:r>
            <w:r/>
          </w:p>
        </w:tc>
        <w:tc>
          <w:tcPr>
            <w:tcW w:w="1266"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≥92%</w:t>
            </w:r>
            <w:r/>
          </w:p>
        </w:tc>
        <w:tc>
          <w:tcPr>
            <w:tcW w:w="3318"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r>
      <w:tr>
        <w:trPr/>
        <w:tc>
          <w:tcPr>
            <w:tcW w:w="489"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c>
          <w:tcPr>
            <w:gridSpan w:val="2"/>
            <w:tcW w:w="2208"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c>
          <w:tcPr>
            <w:tcW w:w="1684"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100%负载</w:t>
            </w:r>
            <w:r/>
          </w:p>
        </w:tc>
        <w:tc>
          <w:tcPr>
            <w:tcW w:w="1266"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≥88%</w:t>
            </w:r>
            <w:r/>
          </w:p>
        </w:tc>
        <w:tc>
          <w:tcPr>
            <w:tcW w:w="3318"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r>
      <w:tr>
        <w:trPr/>
        <w:tc>
          <w:tcPr>
            <w:tcW w:w="489"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3</w:t>
            </w:r>
            <w:r/>
          </w:p>
        </w:tc>
        <w:tc>
          <w:tcPr>
            <w:gridSpan w:val="3"/>
            <w:tcW w:w="3892"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单路电源最低功率因数(50%负载下的)     </w:t>
            </w:r>
            <w:r/>
          </w:p>
        </w:tc>
        <w:tc>
          <w:tcPr>
            <w:tcW w:w="1266"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≥0.90</w:t>
            </w:r>
            <w:r/>
          </w:p>
        </w:tc>
        <w:tc>
          <w:tcPr>
            <w:tcW w:w="3318"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r>
      <w:tr>
        <w:trPr/>
        <w:tc>
          <w:tcPr>
            <w:tcW w:w="489" w:type="dxa"/>
            <w:vAlign w:val="center"/>
            <w:vMerge w:val="restart"/>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4</w:t>
            </w:r>
            <w:r/>
          </w:p>
        </w:tc>
        <w:tc>
          <w:tcPr>
            <w:gridSpan w:val="2"/>
            <w:tcW w:w="2208" w:type="dxa"/>
            <w:vAlign w:val="center"/>
            <w:vMerge w:val="restart"/>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多路电源输出效率</w:t>
            </w:r>
            <w:r/>
          </w:p>
        </w:tc>
        <w:tc>
          <w:tcPr>
            <w:tcW w:w="1684"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20%负载</w:t>
            </w:r>
            <w:r/>
          </w:p>
        </w:tc>
        <w:tc>
          <w:tcPr>
            <w:tcW w:w="1266"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≥85%</w:t>
            </w:r>
            <w:r/>
          </w:p>
        </w:tc>
        <w:tc>
          <w:tcPr>
            <w:tcW w:w="3318"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r>
      <w:tr>
        <w:trPr/>
        <w:tc>
          <w:tcPr>
            <w:tcW w:w="489"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c>
          <w:tcPr>
            <w:gridSpan w:val="2"/>
            <w:tcW w:w="2208"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c>
          <w:tcPr>
            <w:tcW w:w="1684"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50%负载</w:t>
            </w:r>
            <w:r/>
          </w:p>
        </w:tc>
        <w:tc>
          <w:tcPr>
            <w:tcW w:w="1266"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≥89%</w:t>
            </w:r>
            <w:r/>
          </w:p>
        </w:tc>
        <w:tc>
          <w:tcPr>
            <w:tcW w:w="3318"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r>
      <w:tr>
        <w:trPr/>
        <w:tc>
          <w:tcPr>
            <w:tcW w:w="489"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c>
          <w:tcPr>
            <w:gridSpan w:val="2"/>
            <w:tcW w:w="2208"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c>
          <w:tcPr>
            <w:tcW w:w="1684"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100%负载</w:t>
            </w:r>
            <w:r/>
          </w:p>
        </w:tc>
        <w:tc>
          <w:tcPr>
            <w:tcW w:w="1266"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≥85%</w:t>
            </w:r>
            <w:r/>
          </w:p>
        </w:tc>
        <w:tc>
          <w:tcPr>
            <w:tcW w:w="3318"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r>
      <w:tr>
        <w:trPr/>
        <w:tc>
          <w:tcPr>
            <w:tcW w:w="489"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5</w:t>
            </w:r>
            <w:r/>
          </w:p>
        </w:tc>
        <w:tc>
          <w:tcPr>
            <w:gridSpan w:val="3"/>
            <w:tcW w:w="3892"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多路电源最低功率因数(50%负载下的)</w:t>
            </w:r>
            <w:r/>
          </w:p>
        </w:tc>
        <w:tc>
          <w:tcPr>
            <w:tcW w:w="1266"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≥0.90</w:t>
            </w:r>
            <w:r/>
          </w:p>
        </w:tc>
        <w:tc>
          <w:tcPr>
            <w:tcW w:w="3318"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r>
      <w:tr>
        <w:trPr/>
        <w:tc>
          <w:tcPr>
            <w:tcW w:w="489" w:type="dxa"/>
            <w:vAlign w:val="center"/>
            <w:vMerge w:val="restart"/>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6</w:t>
            </w:r>
            <w:r/>
          </w:p>
        </w:tc>
        <w:tc>
          <w:tcPr>
            <w:tcW w:w="2190" w:type="dxa"/>
            <w:vAlign w:val="center"/>
            <w:vMerge w:val="restart"/>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噪声发射</w:t>
            </w:r>
            <w:r/>
          </w:p>
        </w:tc>
        <w:tc>
          <w:tcPr>
            <w:gridSpan w:val="2"/>
            <w:tcW w:w="1702"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有人值守</w:t>
            </w:r>
            <w:r/>
          </w:p>
        </w:tc>
        <w:tc>
          <w:tcPr>
            <w:tcW w:w="1266"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≤7.6 Bels</w:t>
            </w:r>
            <w:r/>
          </w:p>
        </w:tc>
        <w:tc>
          <w:tcPr>
            <w:tcW w:w="3318" w:type="dxa"/>
            <w:vAlign w:val="center"/>
            <w:vMerge w:val="restart"/>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检测方法依据YD/T 1816要求</w:t>
            </w:r>
            <w:r/>
          </w:p>
        </w:tc>
      </w:tr>
      <w:tr>
        <w:trPr/>
        <w:tc>
          <w:tcPr>
            <w:tcW w:w="489"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c>
          <w:tcPr>
            <w:tcW w:w="2190"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c>
          <w:tcPr>
            <w:gridSpan w:val="2"/>
            <w:tcW w:w="1702"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无人值守</w:t>
            </w:r>
            <w:r/>
          </w:p>
        </w:tc>
        <w:tc>
          <w:tcPr>
            <w:tcW w:w="1266"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≤8.1 Bels</w:t>
            </w:r>
            <w:r/>
          </w:p>
        </w:tc>
        <w:tc>
          <w:tcPr>
            <w:tcW w:w="3318" w:type="dxa"/>
            <w:vAlign w:val="center"/>
            <w:vMerge w:val="continue"/>
            <w:textDirection w:val="lrTb"/>
            <w:noWrap w:val="false"/>
          </w:tcPr>
          <w:p>
            <w:pPr>
              <w:pStyle w:val="837"/>
              <w:ind w:left="0" w:right="153"/>
              <w:spacing w:line="276" w:lineRule="auto"/>
              <w:rPr>
                <w:rFonts w:ascii="宋体" w:hAnsi="宋体" w:cs="宋体"/>
                <w:sz w:val="24"/>
                <w:szCs w:val="24"/>
              </w:rPr>
            </w:pPr>
            <w:r>
              <w:rPr>
                <w:rFonts w:ascii="宋体" w:hAnsi="宋体" w:cs="宋体"/>
                <w:sz w:val="24"/>
                <w:szCs w:val="24"/>
              </w:rPr>
            </w:r>
            <w:r/>
          </w:p>
        </w:tc>
      </w:tr>
    </w:tbl>
    <w:p>
      <w:pPr>
        <w:jc w:val="center"/>
        <w:spacing w:after="120" w:line="276" w:lineRule="auto"/>
        <w:rPr>
          <w:color w:val="ff0000"/>
        </w:rPr>
      </w:pPr>
      <w:r>
        <w:rPr>
          <w:color w:val="ff0000"/>
        </w:rPr>
      </w:r>
      <w:r/>
    </w:p>
    <w:p>
      <w:pPr>
        <w:jc w:val="left"/>
        <w:spacing w:after="120" w:line="276" w:lineRule="auto"/>
        <w:rPr>
          <w:i w:val="0"/>
          <w:iCs w:val="0"/>
          <w:color w:val="ff0000"/>
          <w:u w:val="none"/>
        </w:rPr>
      </w:pPr>
      <w:r>
        <w:rPr>
          <w:rFonts w:hint="eastAsia" w:ascii="宋体" w:hAnsi="宋体"/>
          <w:i w:val="0"/>
          <w:iCs w:val="0"/>
          <w:sz w:val="24"/>
          <w:szCs w:val="24"/>
          <w:u w:val="none"/>
        </w:rPr>
        <w:t xml:space="preserve">绿色数据中心需求标准（网络防火墙）</w:t>
      </w:r>
      <w:r/>
    </w:p>
    <w:tbl>
      <w:tblPr>
        <w:tblStyle w:val="761"/>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6"/>
        <w:gridCol w:w="1220"/>
        <w:gridCol w:w="1843"/>
        <w:gridCol w:w="1418"/>
        <w:gridCol w:w="1405"/>
        <w:gridCol w:w="2598"/>
      </w:tblGrid>
      <w:tr>
        <w:trPr/>
        <w:tc>
          <w:tcPr>
            <w:tcW w:w="476" w:type="dxa"/>
            <w:vAlign w:val="center"/>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3"/>
            <w:shd w:val="clear" w:color="auto" w:fill="d8d8d8"/>
            <w:tcW w:w="4481"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指标</w:t>
            </w:r>
            <w:r/>
          </w:p>
        </w:tc>
        <w:tc>
          <w:tcPr>
            <w:shd w:val="clear" w:color="auto" w:fill="d8d8d8"/>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限制值</w:t>
            </w:r>
            <w:r/>
          </w:p>
        </w:tc>
        <w:tc>
          <w:tcPr>
            <w:shd w:val="clear" w:color="auto" w:fill="d8d8d8"/>
            <w:tcW w:w="2598"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判定依据/方法</w:t>
            </w:r>
            <w:r/>
          </w:p>
        </w:tc>
      </w:tr>
      <w:tr>
        <w:trPr/>
        <w:tc>
          <w:tcPr>
            <w:tcW w:w="476"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1</w:t>
            </w:r>
            <w:r/>
          </w:p>
        </w:tc>
        <w:tc>
          <w:tcPr>
            <w:tcW w:w="1220"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固定端口防火墙产品轻量化指标要求</w:t>
            </w:r>
            <w:r/>
          </w:p>
        </w:tc>
        <w:tc>
          <w:tcPr>
            <w:tcW w:w="1843"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吞吐量档位40G以上</w:t>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体积上限</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36 dm</w:t>
            </w:r>
            <w:r>
              <w:rPr>
                <w:rFonts w:hint="eastAsia" w:ascii="宋体" w:hAnsi="宋体" w:cs="宋体"/>
                <w:sz w:val="24"/>
                <w:szCs w:val="24"/>
                <w:vertAlign w:val="superscript"/>
              </w:rPr>
              <w:t xml:space="preserve">3</w:t>
            </w:r>
            <w:r/>
          </w:p>
        </w:tc>
        <w:tc>
          <w:tcPr>
            <w:tcW w:w="2598"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1．体积指产品长*高*深（不含挂耳、走线齿）</w:t>
            </w:r>
            <w:r/>
          </w:p>
          <w:p>
            <w:pPr>
              <w:spacing w:line="276" w:lineRule="auto"/>
              <w:rPr>
                <w:rFonts w:ascii="宋体" w:hAnsi="宋体" w:cs="宋体"/>
                <w:sz w:val="24"/>
                <w:szCs w:val="24"/>
              </w:rPr>
            </w:pPr>
            <w:r>
              <w:rPr>
                <w:rFonts w:hint="eastAsia" w:ascii="宋体" w:hAnsi="宋体" w:cs="宋体"/>
                <w:sz w:val="24"/>
                <w:szCs w:val="24"/>
              </w:rPr>
              <w:t xml:space="preserve">2．吞吐量采用IPV4协议类型</w:t>
            </w:r>
            <w:r/>
          </w:p>
          <w:p>
            <w:pPr>
              <w:spacing w:line="276" w:lineRule="auto"/>
              <w:rPr>
                <w:rFonts w:ascii="宋体" w:hAnsi="宋体" w:cs="宋体"/>
                <w:sz w:val="24"/>
                <w:szCs w:val="24"/>
              </w:rPr>
            </w:pPr>
            <w:r>
              <w:rPr>
                <w:rFonts w:hint="eastAsia" w:ascii="宋体" w:hAnsi="宋体" w:cs="宋体"/>
                <w:sz w:val="24"/>
                <w:szCs w:val="24"/>
              </w:rPr>
              <w:t xml:space="preserve">3. 附录F要求</w:t>
            </w:r>
            <w:r/>
          </w:p>
        </w:tc>
      </w:tr>
      <w:tr>
        <w:trPr/>
        <w:tc>
          <w:tcPr>
            <w:tcW w:w="476"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220"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843"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功耗/吞吐量</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≤5 W/Gbps</w:t>
            </w:r>
            <w:r/>
          </w:p>
        </w:tc>
        <w:tc>
          <w:tcPr>
            <w:tcW w:w="259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476"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220"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843"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吞吐量档位30G以上~40G</w:t>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体积上限</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18 dm</w:t>
            </w:r>
            <w:r>
              <w:rPr>
                <w:rFonts w:hint="eastAsia" w:ascii="宋体" w:hAnsi="宋体" w:cs="宋体"/>
                <w:sz w:val="24"/>
                <w:szCs w:val="24"/>
                <w:vertAlign w:val="superscript"/>
              </w:rPr>
              <w:t xml:space="preserve">3</w:t>
            </w:r>
            <w:r/>
          </w:p>
        </w:tc>
        <w:tc>
          <w:tcPr>
            <w:tcW w:w="259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476"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220"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843"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功耗/吞吐量</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≤6 W/Gbps</w:t>
            </w:r>
            <w:r/>
          </w:p>
        </w:tc>
        <w:tc>
          <w:tcPr>
            <w:tcW w:w="259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476"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220"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843"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吞吐量档位20G以上~30G</w:t>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体积上限</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18 dm</w:t>
            </w:r>
            <w:r>
              <w:rPr>
                <w:rFonts w:hint="eastAsia" w:ascii="宋体" w:hAnsi="宋体" w:cs="宋体"/>
                <w:sz w:val="24"/>
                <w:szCs w:val="24"/>
                <w:vertAlign w:val="superscript"/>
              </w:rPr>
              <w:t xml:space="preserve">3</w:t>
            </w:r>
            <w:r/>
          </w:p>
        </w:tc>
        <w:tc>
          <w:tcPr>
            <w:tcW w:w="259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476"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220"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843"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功耗/吞吐量</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≤16 W/Gbps</w:t>
            </w:r>
            <w:r/>
          </w:p>
        </w:tc>
        <w:tc>
          <w:tcPr>
            <w:tcW w:w="259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476"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220"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843"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吞吐量档位10G以上~20G</w:t>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体积上限</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12 dm</w:t>
            </w:r>
            <w:r>
              <w:rPr>
                <w:rFonts w:hint="eastAsia" w:ascii="宋体" w:hAnsi="宋体" w:cs="宋体"/>
                <w:sz w:val="24"/>
                <w:szCs w:val="24"/>
                <w:vertAlign w:val="superscript"/>
              </w:rPr>
              <w:t xml:space="preserve">3</w:t>
            </w:r>
            <w:r/>
          </w:p>
        </w:tc>
        <w:tc>
          <w:tcPr>
            <w:tcW w:w="259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36"/>
        </w:trPr>
        <w:tc>
          <w:tcPr>
            <w:tcW w:w="476"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220"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843"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功耗/吞吐量</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≤23 W/Gbps</w:t>
            </w:r>
            <w:r/>
          </w:p>
        </w:tc>
        <w:tc>
          <w:tcPr>
            <w:tcW w:w="259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476"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220"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843"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吞吐量档位1G以上~10G</w:t>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体积上限</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12 dm</w:t>
            </w:r>
            <w:r>
              <w:rPr>
                <w:rFonts w:hint="eastAsia" w:ascii="宋体" w:hAnsi="宋体" w:cs="宋体"/>
                <w:sz w:val="24"/>
                <w:szCs w:val="24"/>
                <w:vertAlign w:val="superscript"/>
              </w:rPr>
              <w:t xml:space="preserve">3</w:t>
            </w:r>
            <w:r/>
          </w:p>
        </w:tc>
        <w:tc>
          <w:tcPr>
            <w:tcW w:w="259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476"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220"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843"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功耗/吞吐量</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≤25 W/Gbps</w:t>
            </w:r>
            <w:r/>
          </w:p>
        </w:tc>
        <w:tc>
          <w:tcPr>
            <w:tcW w:w="259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476"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220"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843"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吞吐量档位1G及以下</w:t>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体积上限</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10 dm</w:t>
            </w:r>
            <w:r>
              <w:rPr>
                <w:rFonts w:hint="eastAsia" w:ascii="宋体" w:hAnsi="宋体" w:cs="宋体"/>
                <w:sz w:val="24"/>
                <w:szCs w:val="24"/>
                <w:vertAlign w:val="superscript"/>
              </w:rPr>
              <w:t xml:space="preserve">3</w:t>
            </w:r>
            <w:r/>
          </w:p>
        </w:tc>
        <w:tc>
          <w:tcPr>
            <w:tcW w:w="259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476"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220"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843"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功耗/吞吐量</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≤65 W/Gbps</w:t>
            </w:r>
            <w:r/>
          </w:p>
        </w:tc>
        <w:tc>
          <w:tcPr>
            <w:tcW w:w="259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476"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2</w:t>
            </w:r>
            <w:r/>
          </w:p>
        </w:tc>
        <w:tc>
          <w:tcPr>
            <w:gridSpan w:val="2"/>
            <w:tcW w:w="3063"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固定端口防火墙外部电源</w:t>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能耗</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GB20943的节能评价值</w:t>
            </w:r>
            <w:r/>
          </w:p>
        </w:tc>
        <w:tc>
          <w:tcPr>
            <w:tcW w:w="259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检测方法依据GB 20943要求执行</w:t>
            </w:r>
            <w:r/>
          </w:p>
        </w:tc>
      </w:tr>
      <w:tr>
        <w:trPr/>
        <w:tc>
          <w:tcPr>
            <w:tcW w:w="476"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3</w:t>
            </w:r>
            <w:r/>
          </w:p>
        </w:tc>
        <w:tc>
          <w:tcPr>
            <w:gridSpan w:val="2"/>
            <w:tcW w:w="3063"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内部电源输出效率</w:t>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20%负载</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85%</w:t>
            </w:r>
            <w:r/>
          </w:p>
        </w:tc>
        <w:tc>
          <w:tcPr>
            <w:tcW w:w="2598"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检测方法依据HJ 2507附录B要求执行</w:t>
            </w:r>
            <w:r/>
          </w:p>
        </w:tc>
      </w:tr>
      <w:tr>
        <w:trPr/>
        <w:tc>
          <w:tcPr>
            <w:tcW w:w="476"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3063"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50%负载</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89%</w:t>
            </w:r>
            <w:r/>
          </w:p>
        </w:tc>
        <w:tc>
          <w:tcPr>
            <w:tcW w:w="259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476"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gridSpan w:val="2"/>
            <w:tcW w:w="3063"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100%负载</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85%</w:t>
            </w:r>
            <w:r/>
          </w:p>
        </w:tc>
        <w:tc>
          <w:tcPr>
            <w:tcW w:w="259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c>
          <w:tcPr>
            <w:tcW w:w="476" w:type="dxa"/>
            <w:vAlign w:val="center"/>
            <w:textDirection w:val="lrTb"/>
            <w:noWrap w:val="false"/>
          </w:tcPr>
          <w:p>
            <w:pPr>
              <w:pStyle w:val="837"/>
              <w:ind w:left="0"/>
              <w:spacing w:line="276" w:lineRule="auto"/>
              <w:rPr>
                <w:rFonts w:ascii="宋体" w:hAnsi="宋体" w:cs="宋体"/>
                <w:sz w:val="24"/>
                <w:szCs w:val="24"/>
              </w:rPr>
            </w:pPr>
            <w:r>
              <w:rPr>
                <w:rFonts w:hint="eastAsia" w:ascii="宋体" w:hAnsi="宋体" w:cs="宋体"/>
                <w:sz w:val="24"/>
                <w:szCs w:val="24"/>
              </w:rPr>
              <w:t xml:space="preserve">4</w:t>
            </w:r>
            <w:r/>
          </w:p>
        </w:tc>
        <w:tc>
          <w:tcPr>
            <w:gridSpan w:val="3"/>
            <w:tcW w:w="4481" w:type="dxa"/>
            <w:vAlign w:val="center"/>
            <w:textDirection w:val="lrTb"/>
            <w:noWrap w:val="false"/>
          </w:tcPr>
          <w:p>
            <w:pPr>
              <w:pStyle w:val="837"/>
              <w:ind w:left="0"/>
              <w:spacing w:line="276" w:lineRule="auto"/>
              <w:rPr>
                <w:rFonts w:ascii="宋体" w:hAnsi="宋体" w:cs="宋体"/>
                <w:sz w:val="24"/>
                <w:szCs w:val="24"/>
              </w:rPr>
            </w:pPr>
            <w:r>
              <w:rPr>
                <w:rFonts w:hint="eastAsia" w:ascii="宋体" w:hAnsi="宋体" w:cs="宋体"/>
                <w:sz w:val="24"/>
                <w:szCs w:val="24"/>
              </w:rPr>
              <w:t xml:space="preserve">单路电源最低功率因数(50%负载下的)     </w:t>
            </w:r>
            <w:r/>
          </w:p>
        </w:tc>
        <w:tc>
          <w:tcPr>
            <w:tcW w:w="1405" w:type="dxa"/>
            <w:vAlign w:val="center"/>
            <w:textDirection w:val="lrTb"/>
            <w:noWrap w:val="false"/>
          </w:tcPr>
          <w:p>
            <w:pPr>
              <w:jc w:val="center"/>
              <w:spacing w:line="276"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0.90</w:t>
            </w:r>
            <w:r/>
          </w:p>
        </w:tc>
        <w:tc>
          <w:tcPr>
            <w:tcW w:w="2598" w:type="dxa"/>
            <w:vAlign w:val="center"/>
            <w:vMerge w:val="continue"/>
            <w:textDirection w:val="lrTb"/>
            <w:noWrap w:val="false"/>
          </w:tcPr>
          <w:p>
            <w:pPr>
              <w:spacing w:line="276" w:lineRule="auto"/>
              <w:rPr>
                <w:rFonts w:ascii="宋体" w:hAnsi="宋体" w:cs="宋体"/>
                <w:sz w:val="24"/>
                <w:szCs w:val="24"/>
              </w:rPr>
            </w:pPr>
            <w:r>
              <w:rPr>
                <w:rFonts w:ascii="宋体" w:hAnsi="宋体" w:cs="宋体"/>
                <w:sz w:val="24"/>
                <w:szCs w:val="24"/>
              </w:rPr>
            </w:r>
            <w:r/>
          </w:p>
        </w:tc>
      </w:tr>
      <w:tr>
        <w:trPr>
          <w:trHeight w:val="358"/>
        </w:trPr>
        <w:tc>
          <w:tcPr>
            <w:tcW w:w="476" w:type="dxa"/>
            <w:vAlign w:val="center"/>
            <w:vMerge w:val="restart"/>
            <w:textDirection w:val="lrTb"/>
            <w:noWrap w:val="false"/>
          </w:tcPr>
          <w:p>
            <w:pPr>
              <w:pStyle w:val="837"/>
              <w:ind w:left="0"/>
              <w:spacing w:line="276" w:lineRule="auto"/>
              <w:rPr>
                <w:rFonts w:ascii="宋体" w:hAnsi="宋体" w:cs="宋体"/>
                <w:sz w:val="24"/>
                <w:szCs w:val="24"/>
              </w:rPr>
            </w:pPr>
            <w:r>
              <w:rPr>
                <w:rFonts w:hint="eastAsia" w:ascii="宋体" w:hAnsi="宋体" w:cs="宋体"/>
                <w:sz w:val="24"/>
                <w:szCs w:val="24"/>
              </w:rPr>
              <w:t xml:space="preserve">5</w:t>
            </w:r>
            <w:r/>
          </w:p>
        </w:tc>
        <w:tc>
          <w:tcPr>
            <w:gridSpan w:val="2"/>
            <w:tcW w:w="3063" w:type="dxa"/>
            <w:vAlign w:val="center"/>
            <w:vMerge w:val="restart"/>
            <w:textDirection w:val="lrTb"/>
            <w:noWrap w:val="false"/>
          </w:tcPr>
          <w:p>
            <w:pPr>
              <w:pStyle w:val="837"/>
              <w:ind w:left="0"/>
              <w:spacing w:line="276" w:lineRule="auto"/>
              <w:rPr>
                <w:rFonts w:ascii="宋体" w:hAnsi="宋体" w:cs="宋体"/>
                <w:sz w:val="24"/>
                <w:szCs w:val="24"/>
              </w:rPr>
            </w:pPr>
            <w:r>
              <w:rPr>
                <w:rFonts w:hint="eastAsia" w:ascii="宋体" w:hAnsi="宋体" w:cs="宋体"/>
                <w:sz w:val="24"/>
                <w:szCs w:val="24"/>
              </w:rPr>
              <w:t xml:space="preserve">噪声发射</w:t>
            </w:r>
            <w:r/>
          </w:p>
        </w:tc>
        <w:tc>
          <w:tcPr>
            <w:tcW w:w="1418"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有人值守</w:t>
            </w:r>
            <w:r/>
          </w:p>
        </w:tc>
        <w:tc>
          <w:tcPr>
            <w:tcW w:w="1405"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≤7.6 Bels</w:t>
            </w:r>
            <w:r/>
          </w:p>
        </w:tc>
        <w:tc>
          <w:tcPr>
            <w:tcW w:w="2598" w:type="dxa"/>
            <w:vAlign w:val="center"/>
            <w:vMerge w:val="restart"/>
            <w:textDirection w:val="lrTb"/>
            <w:noWrap w:val="false"/>
          </w:tcPr>
          <w:p>
            <w:pPr>
              <w:spacing w:line="276" w:lineRule="auto"/>
              <w:rPr>
                <w:rFonts w:ascii="宋体" w:hAnsi="宋体" w:cs="宋体"/>
                <w:sz w:val="24"/>
                <w:szCs w:val="24"/>
              </w:rPr>
            </w:pPr>
            <w:r>
              <w:rPr>
                <w:rFonts w:hint="eastAsia" w:ascii="宋体" w:hAnsi="宋体" w:cs="宋体"/>
                <w:sz w:val="24"/>
                <w:szCs w:val="24"/>
              </w:rPr>
              <w:t xml:space="preserve">检测方法依据YD/T 1816要求执行</w:t>
            </w:r>
            <w:r/>
          </w:p>
        </w:tc>
      </w:tr>
      <w:tr>
        <w:trPr>
          <w:trHeight w:val="358"/>
        </w:trPr>
        <w:tc>
          <w:tcPr>
            <w:tcW w:w="476" w:type="dxa"/>
            <w:vAlign w:val="center"/>
            <w:vMerge w:val="continue"/>
            <w:textDirection w:val="lrTb"/>
            <w:noWrap w:val="false"/>
          </w:tcPr>
          <w:p>
            <w:pPr>
              <w:pStyle w:val="837"/>
              <w:ind w:left="0"/>
              <w:spacing w:line="276" w:lineRule="auto"/>
              <w:rPr>
                <w:rFonts w:ascii="宋体" w:hAnsi="宋体" w:cs="宋体"/>
                <w:sz w:val="24"/>
                <w:szCs w:val="24"/>
              </w:rPr>
            </w:pPr>
            <w:r>
              <w:rPr>
                <w:rFonts w:ascii="宋体" w:hAnsi="宋体" w:cs="宋体"/>
                <w:sz w:val="24"/>
                <w:szCs w:val="24"/>
              </w:rPr>
            </w:r>
            <w:r/>
          </w:p>
        </w:tc>
        <w:tc>
          <w:tcPr>
            <w:gridSpan w:val="2"/>
            <w:tcW w:w="3063" w:type="dxa"/>
            <w:vAlign w:val="center"/>
            <w:vMerge w:val="continue"/>
            <w:textDirection w:val="lrTb"/>
            <w:noWrap w:val="false"/>
          </w:tcPr>
          <w:p>
            <w:pPr>
              <w:pStyle w:val="837"/>
              <w:ind w:left="0"/>
              <w:spacing w:line="276" w:lineRule="auto"/>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37"/>
              <w:ind w:left="0" w:right="153"/>
              <w:spacing w:line="276" w:lineRule="auto"/>
              <w:rPr>
                <w:rFonts w:ascii="宋体" w:hAnsi="宋体" w:cs="宋体"/>
                <w:sz w:val="24"/>
                <w:szCs w:val="24"/>
              </w:rPr>
            </w:pPr>
            <w:r>
              <w:rPr>
                <w:rFonts w:hint="eastAsia" w:ascii="宋体" w:hAnsi="宋体" w:cs="宋体"/>
                <w:sz w:val="24"/>
                <w:szCs w:val="24"/>
              </w:rPr>
              <w:t xml:space="preserve">无人值守</w:t>
            </w:r>
            <w:r/>
          </w:p>
        </w:tc>
        <w:tc>
          <w:tcPr>
            <w:tcW w:w="1405" w:type="dxa"/>
            <w:vAlign w:val="center"/>
            <w:textDirection w:val="lrTb"/>
            <w:noWrap w:val="false"/>
          </w:tcPr>
          <w:p>
            <w:pPr>
              <w:pStyle w:val="837"/>
              <w:ind w:left="0" w:right="153"/>
              <w:jc w:val="center"/>
              <w:spacing w:line="276" w:lineRule="auto"/>
              <w:rPr>
                <w:rFonts w:ascii="宋体" w:hAnsi="宋体" w:cs="宋体"/>
                <w:sz w:val="24"/>
                <w:szCs w:val="24"/>
              </w:rPr>
            </w:pPr>
            <w:r>
              <w:rPr>
                <w:rFonts w:hint="eastAsia" w:ascii="宋体" w:hAnsi="宋体" w:cs="宋体"/>
                <w:sz w:val="24"/>
                <w:szCs w:val="24"/>
              </w:rPr>
              <w:t xml:space="preserve">≤8.1 Bels</w:t>
            </w:r>
            <w:r/>
          </w:p>
        </w:tc>
        <w:tc>
          <w:tcPr>
            <w:tcW w:w="2598" w:type="dxa"/>
            <w:vAlign w:val="center"/>
            <w:vMerge w:val="continue"/>
            <w:textDirection w:val="lrTb"/>
            <w:noWrap w:val="false"/>
          </w:tcPr>
          <w:p>
            <w:pPr>
              <w:pStyle w:val="837"/>
              <w:ind w:left="0"/>
              <w:spacing w:line="276" w:lineRule="auto"/>
              <w:rPr>
                <w:rFonts w:ascii="宋体" w:hAnsi="宋体" w:cs="宋体"/>
                <w:sz w:val="24"/>
                <w:szCs w:val="24"/>
              </w:rPr>
            </w:pPr>
            <w:r>
              <w:rPr>
                <w:rFonts w:ascii="宋体" w:hAnsi="宋体" w:cs="宋体"/>
                <w:sz w:val="24"/>
                <w:szCs w:val="24"/>
              </w:rPr>
            </w:r>
            <w:r/>
          </w:p>
        </w:tc>
      </w:tr>
    </w:tbl>
    <w:p>
      <w:pPr>
        <w:pStyle w:val="790"/>
      </w:pPr>
      <w:r/>
      <w:r/>
    </w:p>
    <w:p>
      <w:pPr>
        <w:rPr>
          <w:rFonts w:ascii="宋体" w:hAnsi="宋体"/>
          <w:i w:val="0"/>
          <w:iCs w:val="0"/>
          <w:sz w:val="24"/>
          <w:szCs w:val="24"/>
          <w:u w:val="none"/>
        </w:rPr>
      </w:pPr>
      <w:r>
        <w:rPr>
          <w:rFonts w:hint="eastAsia" w:ascii="宋体" w:hAnsi="宋体"/>
          <w:i w:val="0"/>
          <w:iCs w:val="0"/>
          <w:sz w:val="24"/>
          <w:szCs w:val="24"/>
          <w:u w:val="none"/>
        </w:rPr>
        <w:t xml:space="preserve">绿色数据中心需求标准（不间断电源）</w:t>
      </w:r>
      <w:r/>
    </w:p>
    <w:p>
      <w:pPr>
        <w:rPr>
          <w:rFonts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信息设备的不间断电源能效应符合GB/T 14715中一级能效要求。</w:t>
      </w:r>
      <w:r/>
    </w:p>
    <w:p>
      <w:pPr>
        <w:spacing w:line="360" w:lineRule="auto"/>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r>
      <w:r/>
    </w:p>
    <w:p>
      <w:pPr>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三、商务要求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、交付或者供货时间：合同签订之日起120个日历天内完成供货、安装、调试、</w:t>
      </w:r>
      <w:r>
        <w:rPr>
          <w:rFonts w:hint="eastAsia" w:ascii="宋体" w:hAnsi="宋体" w:cs="宋体"/>
          <w:color w:val="auto"/>
          <w:sz w:val="24"/>
          <w:szCs w:val="24"/>
        </w:rPr>
        <w:t xml:space="preserve">验收。</w:t>
      </w:r>
      <w:r>
        <w:rPr>
          <w:rFonts w:hint="eastAsia" w:ascii="宋体" w:hAnsi="宋体" w:cs="宋体"/>
          <w:color w:val="000000" w:themeColor="text1"/>
          <w:sz w:val="24"/>
          <w:szCs w:val="24"/>
          <w14:textFill>
            <w14:solidFill>
              <w14:schemeClr w14:val="tx1"/>
            </w14:solidFill>
          </w14:textFill>
        </w:rPr>
        <w:t xml:space="preserve">中标人应当按照投标承诺如期供货，如不能如期供货，采购人有权终止合同，中标人须承担由此对采购人造成的损失。</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、交货方式及地点：供货至采购人指定地点并完成安装调试、通过验收后交货.</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、采购标的的其他技术、服务等要求：详见采购需求及合同条款。</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、服务保障和承诺要求</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中标人自行承担运输、安装、调试、售后服务等全过程中的所有安全责任。</w:t>
      </w:r>
      <w:r/>
    </w:p>
    <w:p>
      <w:pPr>
        <w:ind w:firstLine="480"/>
        <w:spacing w:line="360" w:lineRule="auto"/>
        <w:rPr>
          <w:rFonts w:ascii="宋体" w:hAnsi="宋体" w:cs="宋体"/>
          <w:i/>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投标人在设备安装过程中涉及第三方产品知识产权情况，若出现技术、经济或法律上的纠纷，应由中标人全面承担并全权解决，并确保不影响项目的进度。</w:t>
      </w:r>
      <w:r/>
    </w:p>
    <w:p>
      <w:pPr>
        <w:ind w:firstLine="480"/>
        <w:spacing w:line="360" w:lineRule="auto"/>
        <w:rPr>
          <w:rFonts w:ascii="宋体" w:hAnsi="宋体" w:cs="宋体"/>
          <w:bCs/>
          <w:iCs/>
          <w:color w:val="000000" w:themeColor="text1"/>
          <w:sz w:val="24"/>
          <w:szCs w:val="24"/>
          <w14:textFill>
            <w14:solidFill>
              <w14:schemeClr w14:val="tx1"/>
            </w14:solidFill>
          </w14:textFill>
        </w:rPr>
      </w:pPr>
      <w:r>
        <w:rPr>
          <w:rFonts w:hint="eastAsia" w:ascii="宋体" w:hAnsi="宋体" w:cs="宋体"/>
          <w:bCs/>
          <w:iCs/>
          <w:color w:val="000000" w:themeColor="text1"/>
          <w:sz w:val="24"/>
          <w:szCs w:val="24"/>
          <w:lang w:val="en-US" w:eastAsia="zh-CN"/>
          <w14:textFill>
            <w14:solidFill>
              <w14:schemeClr w14:val="tx1"/>
            </w14:solidFill>
          </w14:textFill>
        </w:rPr>
        <w:t xml:space="preserve">5</w:t>
      </w:r>
      <w:r>
        <w:rPr>
          <w:rFonts w:hint="eastAsia" w:ascii="宋体" w:hAnsi="宋体" w:cs="宋体"/>
          <w:bCs/>
          <w:iCs/>
          <w:color w:val="000000" w:themeColor="text1"/>
          <w:sz w:val="24"/>
          <w:szCs w:val="24"/>
          <w14:textFill>
            <w14:solidFill>
              <w14:schemeClr w14:val="tx1"/>
            </w14:solidFill>
          </w14:textFill>
        </w:rPr>
        <w:t xml:space="preserve">、</w:t>
      </w:r>
      <w:r>
        <w:rPr>
          <w:rFonts w:hint="eastAsia" w:ascii="宋体" w:hAnsi="宋体" w:cs="宋体"/>
          <w:bCs/>
          <w:iCs/>
          <w:color w:val="000000" w:themeColor="text1"/>
          <w:sz w:val="24"/>
          <w:szCs w:val="24"/>
          <w:lang w:val="en-US" w:eastAsia="zh-CN"/>
          <w14:textFill>
            <w14:solidFill>
              <w14:schemeClr w14:val="tx1"/>
            </w14:solidFill>
          </w14:textFill>
        </w:rPr>
        <w:t xml:space="preserve">实施</w:t>
      </w:r>
      <w:r>
        <w:rPr>
          <w:rFonts w:hint="eastAsia" w:ascii="宋体" w:hAnsi="宋体" w:cs="宋体"/>
          <w:bCs/>
          <w:iCs/>
          <w:color w:val="000000" w:themeColor="text1"/>
          <w:sz w:val="24"/>
          <w:szCs w:val="24"/>
          <w14:textFill>
            <w14:solidFill>
              <w14:schemeClr w14:val="tx1"/>
            </w14:solidFill>
          </w14:textFill>
        </w:rPr>
        <w:t xml:space="preserve">进度及安装要求</w:t>
      </w:r>
      <w:r/>
    </w:p>
    <w:p>
      <w:pPr>
        <w:ind w:firstLine="480"/>
        <w:spacing w:line="360" w:lineRule="auto"/>
        <w:rPr>
          <w:rFonts w:ascii="宋体" w:hAnsi="宋体" w:cs="宋体"/>
          <w:bCs/>
          <w:iCs/>
          <w:color w:val="000000" w:themeColor="text1"/>
          <w:sz w:val="24"/>
          <w:szCs w:val="24"/>
          <w14:textFill>
            <w14:solidFill>
              <w14:schemeClr w14:val="tx1"/>
            </w14:solidFill>
          </w14:textFill>
        </w:rPr>
      </w:pPr>
      <w:r>
        <w:rPr>
          <w:rFonts w:hint="eastAsia" w:ascii="宋体" w:hAnsi="宋体" w:cs="宋体"/>
          <w:bCs/>
          <w:iCs/>
          <w:color w:val="000000" w:themeColor="text1"/>
          <w:sz w:val="24"/>
          <w:szCs w:val="24"/>
          <w14:textFill>
            <w14:solidFill>
              <w14:schemeClr w14:val="tx1"/>
            </w14:solidFill>
          </w14:textFill>
        </w:rPr>
        <w:t xml:space="preserve">设备的基础建设（包括预埋件、防雷等基础建设）和设备安装由中标人负责。中标人应根据采购人的项目进度要求，提出具体的项目进度安排。中标人应提交本项目的项目计划进度表。该计划进度表首先对本项目的工作内容进行分解，针对不同的工作内容提出相应的实施进度。</w:t>
      </w:r>
      <w:r/>
    </w:p>
    <w:p>
      <w:pPr>
        <w:ind w:firstLine="480"/>
        <w:spacing w:line="276" w:lineRule="auto"/>
        <w:rPr>
          <w:rFonts w:ascii="宋体" w:hAnsi="宋体" w:cs="宋体"/>
          <w:bCs/>
          <w:iCs/>
          <w:color w:val="000000" w:themeColor="text1"/>
          <w:sz w:val="24"/>
          <w:szCs w:val="24"/>
          <w14:textFill>
            <w14:solidFill>
              <w14:schemeClr w14:val="tx1"/>
            </w14:solidFill>
          </w14:textFill>
        </w:rPr>
      </w:pPr>
      <w:r>
        <w:rPr>
          <w:rFonts w:hint="eastAsia"/>
          <w:bCs/>
          <w:iCs/>
          <w:color w:val="000000" w:themeColor="text1"/>
          <w:sz w:val="24"/>
          <w:szCs w:val="24"/>
          <w14:textFill>
            <w14:solidFill>
              <w14:schemeClr w14:val="tx1"/>
            </w14:solidFill>
          </w14:textFill>
        </w:rPr>
        <w:t xml:space="preserve">中标人提供全部安装、调试过程中所需的特殊工具和易损件，安装调试结果符合有关标准要求。中标人有责任对采购人的技术人员提出的问题作出解答。系统调试结束后，由采购人验收。</w:t>
      </w:r>
      <w:r/>
    </w:p>
    <w:p>
      <w:pPr>
        <w:ind w:firstLine="480"/>
        <w:spacing w:line="360" w:lineRule="auto"/>
        <w:rPr>
          <w:rFonts w:ascii="宋体" w:hAnsi="宋体" w:cs="宋体"/>
          <w:bCs/>
          <w:iCs/>
          <w:color w:val="000000" w:themeColor="text1"/>
          <w:sz w:val="24"/>
          <w:szCs w:val="24"/>
          <w:highlight w:val="none"/>
          <w14:textFill>
            <w14:solidFill>
              <w14:schemeClr w14:val="tx1"/>
            </w14:solidFill>
          </w14:textFill>
        </w:rPr>
      </w:pPr>
      <w:r>
        <w:rPr>
          <w:rFonts w:hint="eastAsia" w:ascii="宋体" w:hAnsi="宋体" w:cs="宋体"/>
          <w:bCs/>
          <w:i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iCs/>
          <w:color w:val="000000" w:themeColor="text1"/>
          <w:sz w:val="24"/>
          <w:szCs w:val="24"/>
          <w:highlight w:val="none"/>
          <w14:textFill>
            <w14:solidFill>
              <w14:schemeClr w14:val="tx1"/>
            </w14:solidFill>
          </w14:textFill>
        </w:rPr>
        <w:t xml:space="preserve">、设备供货验货</w:t>
      </w:r>
      <w:r/>
    </w:p>
    <w:p>
      <w:pPr>
        <w:ind w:firstLine="480"/>
        <w:spacing w:line="276" w:lineRule="auto"/>
        <w:rPr>
          <w:rFonts w:hint="eastAsia" w:ascii="宋体" w:hAnsi="宋体" w:eastAsia="宋体" w:cs="宋体"/>
          <w:bCs/>
          <w:iCs/>
          <w:color w:val="auto"/>
          <w:sz w:val="24"/>
          <w:szCs w:val="24"/>
        </w:rPr>
      </w:pPr>
      <w:r>
        <w:rPr>
          <w:rFonts w:hint="eastAsia" w:ascii="宋体" w:hAnsi="宋体" w:eastAsia="宋体" w:cs="宋体"/>
          <w:bCs/>
          <w:iCs/>
          <w:color w:val="auto"/>
          <w:sz w:val="24"/>
          <w:szCs w:val="24"/>
        </w:rPr>
        <w:t xml:space="preserve">1)所供货物必须是全新的，同一批次，完全符合国家规定的质量标准。因产品质量或安装不当导致验收不合格，应及时处理直至验收合格，期间产生的一切费用由中标人承担；若二次验收不合格，采购人有权退货。采购人在此期间保留对中标人的索赔权利。投标人必须满足所有功能要求，有义务保证采购人系统的功能性和完整性。</w:t>
      </w:r>
      <w:r/>
    </w:p>
    <w:p>
      <w:pPr>
        <w:ind w:firstLine="480"/>
        <w:spacing w:line="276" w:lineRule="auto"/>
        <w:rPr>
          <w:rFonts w:hint="eastAsia" w:ascii="宋体" w:hAnsi="宋体" w:eastAsia="宋体" w:cs="宋体"/>
          <w:bCs/>
          <w:iCs/>
          <w:color w:val="auto"/>
          <w:sz w:val="24"/>
          <w:szCs w:val="24"/>
        </w:rPr>
      </w:pPr>
      <w:r>
        <w:rPr>
          <w:rFonts w:hint="eastAsia" w:ascii="宋体" w:hAnsi="宋体" w:eastAsia="宋体" w:cs="宋体"/>
          <w:bCs/>
          <w:iCs/>
          <w:color w:val="auto"/>
          <w:sz w:val="24"/>
          <w:szCs w:val="24"/>
        </w:rPr>
        <w:t xml:space="preserve">货物由采购人组织验收，检验不合格或不符合质量要求，中标人除无条件退货、返工外，还应承担采购人的一切损失。</w:t>
      </w:r>
      <w:r/>
    </w:p>
    <w:p>
      <w:pPr>
        <w:ind w:firstLine="480"/>
        <w:spacing w:line="276" w:lineRule="auto"/>
        <w:rPr>
          <w:rFonts w:hint="eastAsia" w:ascii="宋体" w:hAnsi="宋体" w:eastAsia="宋体" w:cs="宋体"/>
          <w:bCs/>
          <w:iCs/>
          <w:color w:val="auto"/>
          <w:sz w:val="24"/>
          <w:szCs w:val="24"/>
        </w:rPr>
      </w:pPr>
      <w:r>
        <w:rPr>
          <w:rFonts w:hint="eastAsia" w:ascii="宋体" w:hAnsi="宋体" w:eastAsia="宋体" w:cs="宋体"/>
          <w:bCs/>
          <w:iCs/>
          <w:color w:val="auto"/>
          <w:sz w:val="24"/>
          <w:szCs w:val="24"/>
        </w:rPr>
        <w:t xml:space="preserve">若因中标人原因导致货物不能按时交付使用，采购人有权追究其责任。投标人可先到项目地点充分了解地理位置、情况、道路、储存空间、装卸限制及施工配合等任何其他足以影响投标报价的情况，任何因忽视或误解项目现场而导致的索赔或工期延长申请将不被批准。    </w:t>
      </w:r>
      <w:r/>
    </w:p>
    <w:p>
      <w:pPr>
        <w:ind w:firstLine="480"/>
        <w:spacing w:line="276" w:lineRule="auto"/>
        <w:rPr>
          <w:rFonts w:hint="eastAsia" w:ascii="宋体" w:hAnsi="宋体" w:eastAsia="宋体" w:cs="宋体"/>
          <w:bCs/>
          <w:iCs/>
          <w:color w:val="auto"/>
          <w:sz w:val="24"/>
          <w:szCs w:val="24"/>
        </w:rPr>
      </w:pPr>
      <w:r>
        <w:rPr>
          <w:rFonts w:hint="eastAsia" w:ascii="宋体" w:hAnsi="宋体" w:eastAsia="宋体" w:cs="宋体"/>
          <w:bCs/>
          <w:iCs/>
          <w:color w:val="auto"/>
          <w:sz w:val="24"/>
          <w:szCs w:val="24"/>
        </w:rPr>
        <w:t xml:space="preserve">2）所有货物进场前需经采购人确认，确认无误后由中标人运至采购人指定地点，验收交货前存放及保管概由中标人负责。未经采购人确认或经采购人确认参数等与招标文件要求和投标文件承诺不符的，不得进场，因此产生的延期或退换货等风险及相关费用，由中标人自行承担。</w:t>
      </w:r>
      <w:r/>
    </w:p>
    <w:p>
      <w:pPr>
        <w:ind w:firstLine="480"/>
        <w:spacing w:line="276" w:lineRule="auto"/>
        <w:rPr>
          <w:rFonts w:hint="eastAsia" w:ascii="宋体" w:hAnsi="宋体" w:eastAsia="宋体" w:cs="宋体"/>
          <w:bCs/>
          <w:iCs/>
          <w:color w:val="auto"/>
          <w:sz w:val="24"/>
          <w:szCs w:val="24"/>
        </w:rPr>
      </w:pPr>
      <w:r>
        <w:rPr>
          <w:rFonts w:hint="eastAsia" w:ascii="宋体" w:hAnsi="宋体" w:eastAsia="宋体" w:cs="宋体"/>
          <w:bCs/>
          <w:iCs/>
          <w:color w:val="auto"/>
          <w:sz w:val="24"/>
          <w:szCs w:val="24"/>
        </w:rPr>
        <w:t xml:space="preserve">3）设备材料的包装均应有良好的防湿、防锈、防潮、防雨、防腐及防碰撞的措施。凡由于包装不良造成的损失和由此产生的费用均由中标人承担。</w:t>
      </w:r>
      <w:r/>
    </w:p>
    <w:p>
      <w:pPr>
        <w:ind w:firstLine="480"/>
        <w:spacing w:line="276" w:lineRule="auto"/>
        <w:rPr>
          <w:rFonts w:hint="eastAsia" w:ascii="宋体" w:hAnsi="宋体" w:eastAsia="宋体" w:cs="宋体"/>
          <w:bCs/>
          <w:iCs/>
          <w:color w:val="auto"/>
          <w:sz w:val="24"/>
          <w:szCs w:val="24"/>
        </w:rPr>
      </w:pPr>
      <w:r>
        <w:rPr>
          <w:rFonts w:hint="eastAsia" w:ascii="宋体" w:hAnsi="宋体" w:eastAsia="宋体" w:cs="宋体"/>
          <w:bCs/>
          <w:iCs/>
          <w:color w:val="auto"/>
          <w:sz w:val="24"/>
          <w:szCs w:val="24"/>
        </w:rPr>
        <w:t xml:space="preserve">4）中标人提供产品必须随货提供出厂产品合格证、质保书和产品使用说明书等相关资料，产品质量和各种技术指标，经验收达不到规范要求、招标文件要求和响应文件承诺的，必须更换设备，并按国家有关规定进行处罚，直至赔偿采购人的一切损失。如发现使用假冒伪劣产品、三无产品，一经查实，立即终止合同，所有款项一律不付、不退，并将来货封存，交由质量监督部门处理，并按其处罚意见，处以罚款。</w:t>
      </w:r>
      <w:r/>
    </w:p>
    <w:p>
      <w:pPr>
        <w:ind w:firstLine="480"/>
        <w:spacing w:line="276" w:lineRule="auto"/>
        <w:rPr>
          <w:rFonts w:hint="eastAsia" w:ascii="宋体" w:hAnsi="宋体" w:eastAsia="宋体" w:cs="宋体"/>
          <w:bCs/>
          <w:iCs/>
          <w:color w:val="auto"/>
          <w:sz w:val="24"/>
          <w:szCs w:val="24"/>
          <w:lang w:val="en-US" w:eastAsia="zh-CN"/>
        </w:rPr>
      </w:pPr>
      <w:r>
        <w:rPr>
          <w:rFonts w:hint="eastAsia" w:ascii="宋体" w:hAnsi="宋体" w:eastAsia="宋体" w:cs="宋体"/>
          <w:bCs/>
          <w:iCs/>
          <w:color w:val="auto"/>
          <w:sz w:val="24"/>
          <w:szCs w:val="24"/>
        </w:rPr>
        <w:t xml:space="preserve">5）设备运抵采购人指定地点后，中标人需提前24小时通知采购人验货时间。采购人代表（或指定人员）</w:t>
      </w:r>
      <w:r>
        <w:rPr>
          <w:rFonts w:hint="eastAsia" w:ascii="宋体" w:hAnsi="宋体" w:eastAsia="宋体" w:cs="宋体"/>
          <w:bCs/>
          <w:iCs/>
          <w:color w:val="auto"/>
          <w:sz w:val="24"/>
          <w:szCs w:val="24"/>
        </w:rPr>
        <w:t xml:space="preserve">与中标人代表共同在场方可开箱验货。以招标文件、中标通知书、采购合同（含技术规格附件）、设备装箱单及制造商提供的标准规格为验货依据。如发现外包装严重破损、数量短缺、型号不符、外观严重损坏或加电异常等问题，采购人有权拒绝签收或签署“异常签收”，中标人须立即负责免费更换、补货或修复，并承担由此产生的一切费用和延误责任。货物由中标人运至采购人指定地点，验收交货前存放及保管概由中标人负责。在硬件安装、系统部署、软件安装、网络配置等主要阶段完成后，由中标人申请，采购人组织进行阶段性验收，确认符合要求后方可进入下一阶段。</w:t>
      </w:r>
      <w:r/>
    </w:p>
    <w:p>
      <w:pPr>
        <w:ind w:firstLine="480"/>
        <w:spacing w:line="276" w:lineRule="auto"/>
        <w:rPr>
          <w:bCs/>
          <w:iCs/>
          <w:color w:val="auto"/>
          <w:sz w:val="24"/>
          <w:szCs w:val="24"/>
        </w:rPr>
      </w:pPr>
      <w:r>
        <w:rPr>
          <w:rFonts w:hint="eastAsia"/>
          <w:bCs/>
          <w:iCs/>
          <w:color w:val="auto"/>
          <w:sz w:val="24"/>
          <w:szCs w:val="24"/>
          <w:lang w:val="en-US" w:eastAsia="zh-CN"/>
        </w:rPr>
        <w:t xml:space="preserve">7、</w:t>
      </w:r>
      <w:r>
        <w:rPr>
          <w:rFonts w:hint="eastAsia"/>
          <w:bCs/>
          <w:iCs/>
          <w:color w:val="auto"/>
          <w:sz w:val="24"/>
          <w:szCs w:val="24"/>
        </w:rPr>
        <w:t xml:space="preserve">设备包装要求</w:t>
      </w:r>
      <w:r/>
    </w:p>
    <w:p>
      <w:pPr>
        <w:ind w:firstLine="480"/>
        <w:spacing w:line="276" w:lineRule="auto"/>
        <w:rPr>
          <w:bCs/>
          <w:iCs/>
          <w:color w:val="000000" w:themeColor="text1"/>
          <w:sz w:val="24"/>
          <w:szCs w:val="24"/>
          <w14:textFill>
            <w14:solidFill>
              <w14:schemeClr w14:val="tx1"/>
            </w14:solidFill>
          </w14:textFill>
        </w:rPr>
      </w:pPr>
      <w:r>
        <w:rPr>
          <w:rFonts w:hint="eastAsia"/>
          <w:bCs/>
          <w:iCs/>
          <w:color w:val="000000" w:themeColor="text1"/>
          <w:sz w:val="24"/>
          <w:szCs w:val="24"/>
          <w14:textFill>
            <w14:solidFill>
              <w14:schemeClr w14:val="tx1"/>
            </w14:solidFill>
          </w14:textFill>
        </w:rPr>
        <w:t xml:space="preserve">设备的精密部件要用木箱包装，箱内应有填充物，以防振动。箱外要有防水、朝上标记或“小心轻放”字样。一般不易损坏的零部件可用纸箱或其它方式包装。如因中标人包装不当等原因造成损坏和丢失，应由中标人负责免费修复或补缺，因此而拖延的工期，按照延迟发货对待。</w:t>
      </w:r>
      <w:r/>
    </w:p>
    <w:p>
      <w:pPr>
        <w:ind w:firstLine="480"/>
        <w:spacing w:line="360" w:lineRule="auto"/>
        <w:rPr>
          <w:rFonts w:ascii="宋体" w:hAnsi="宋体" w:cs="宋体"/>
          <w:bCs/>
          <w:iCs/>
          <w:color w:val="000000" w:themeColor="text1"/>
          <w:sz w:val="24"/>
          <w:szCs w:val="24"/>
          <w14:textFill>
            <w14:solidFill>
              <w14:schemeClr w14:val="tx1"/>
            </w14:solidFill>
          </w14:textFill>
        </w:rPr>
      </w:pPr>
      <w:r>
        <w:rPr>
          <w:rFonts w:hint="eastAsia"/>
          <w:bCs/>
          <w:iCs/>
          <w:color w:val="000000" w:themeColor="text1"/>
          <w:sz w:val="24"/>
          <w:szCs w:val="24"/>
          <w:lang w:val="en-US" w:eastAsia="zh-CN"/>
          <w14:textFill>
            <w14:solidFill>
              <w14:schemeClr w14:val="tx1"/>
            </w14:solidFill>
          </w14:textFill>
        </w:rPr>
        <w:t xml:space="preserve">8</w:t>
      </w:r>
      <w:r>
        <w:rPr>
          <w:rFonts w:hint="eastAsia"/>
          <w:bCs/>
          <w:iCs/>
          <w:color w:val="000000" w:themeColor="text1"/>
          <w:sz w:val="24"/>
          <w:szCs w:val="24"/>
          <w14:textFill>
            <w14:solidFill>
              <w14:schemeClr w14:val="tx1"/>
            </w14:solidFill>
          </w14:textFill>
        </w:rPr>
        <w:t xml:space="preserve">、</w:t>
      </w:r>
      <w:r>
        <w:rPr>
          <w:rFonts w:hint="eastAsia" w:ascii="宋体" w:hAnsi="宋体" w:cs="宋体"/>
          <w:bCs/>
          <w:iCs/>
          <w:color w:val="000000" w:themeColor="text1"/>
          <w:sz w:val="24"/>
          <w:szCs w:val="24"/>
          <w14:textFill>
            <w14:solidFill>
              <w14:schemeClr w14:val="tx1"/>
            </w14:solidFill>
          </w14:textFill>
        </w:rPr>
        <w:t xml:space="preserve">售后服务要求</w:t>
      </w:r>
      <w:r/>
    </w:p>
    <w:p>
      <w:pPr>
        <w:ind w:firstLine="480"/>
        <w:spacing w:line="360" w:lineRule="auto"/>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1）售后服务期限:验收合格之日起3年免费质保。</w:t>
      </w:r>
      <w:r/>
    </w:p>
    <w:p>
      <w:pPr>
        <w:ind w:firstLine="480"/>
        <w:spacing w:line="360" w:lineRule="auto"/>
        <w:rPr>
          <w:rFonts w:ascii="宋体" w:hAnsi="宋体" w:cs="宋体"/>
          <w:bCs/>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xml:space="preserve">2）服务响应时间：免费质保期间，提供技术服务热线（7*24小时），接到采购人抢修指令申告电话后应于30分钟内响应,48小时内到达现场解决问题。如未在规定时间内完成的需立即上报采购人，经允许后延长修复时间，如未及时修复，造成采购人损失，由投标人承担全部责任。</w:t>
      </w:r>
      <w:r/>
    </w:p>
    <w:p>
      <w:pPr>
        <w:ind w:firstLine="480"/>
        <w:spacing w:line="276" w:lineRule="auto"/>
        <w:rPr>
          <w:bCs/>
          <w:iCs/>
          <w:color w:val="000000" w:themeColor="text1"/>
          <w:sz w:val="24"/>
          <w:szCs w:val="24"/>
          <w14:textFill>
            <w14:solidFill>
              <w14:schemeClr w14:val="tx1"/>
            </w14:solidFill>
          </w14:textFill>
        </w:rPr>
      </w:pPr>
      <w:r>
        <w:rPr>
          <w:rFonts w:hint="eastAsia"/>
          <w:bCs/>
          <w:iCs/>
          <w:color w:val="000000" w:themeColor="text1"/>
          <w:sz w:val="24"/>
          <w:szCs w:val="24"/>
          <w:lang w:val="en-US" w:eastAsia="zh-CN"/>
          <w14:textFill>
            <w14:solidFill>
              <w14:schemeClr w14:val="tx1"/>
            </w14:solidFill>
          </w14:textFill>
        </w:rPr>
        <w:t xml:space="preserve">9</w:t>
      </w:r>
      <w:r>
        <w:rPr>
          <w:rFonts w:hint="eastAsia"/>
          <w:bCs/>
          <w:iCs/>
          <w:color w:val="000000" w:themeColor="text1"/>
          <w:sz w:val="24"/>
          <w:szCs w:val="24"/>
          <w14:textFill>
            <w14:solidFill>
              <w14:schemeClr w14:val="tx1"/>
            </w14:solidFill>
          </w14:textFill>
        </w:rPr>
        <w:t xml:space="preserve">、技术培训要求</w:t>
      </w:r>
      <w:r/>
    </w:p>
    <w:p>
      <w:pPr>
        <w:ind w:firstLine="480"/>
        <w:spacing w:line="360" w:lineRule="auto"/>
        <w:rPr>
          <w:rFonts w:ascii="宋体" w:hAnsi="宋体" w:cs="宋体"/>
          <w:bCs/>
          <w:iCs/>
          <w:color w:val="000000" w:themeColor="text1"/>
          <w:sz w:val="24"/>
          <w:szCs w:val="24"/>
          <w14:textFill>
            <w14:solidFill>
              <w14:schemeClr w14:val="tx1"/>
            </w14:solidFill>
          </w14:textFill>
        </w:rPr>
      </w:pPr>
      <w:r>
        <w:rPr>
          <w:rFonts w:hint="eastAsia" w:ascii="宋体" w:hAnsi="宋体" w:cs="宋体"/>
          <w:bCs/>
          <w:iCs/>
          <w:color w:val="000000" w:themeColor="text1"/>
          <w:sz w:val="24"/>
          <w:szCs w:val="24"/>
          <w14:textFill>
            <w14:solidFill>
              <w14:schemeClr w14:val="tx1"/>
            </w14:solidFill>
          </w14:textFill>
        </w:rPr>
        <w:t xml:space="preserve">中标人应提供用户至少3人次培训（达到熟练操作），免费向用户提供设备安装、调试以及软件技术培训。技术培训内容包括：设备工作原理、使用方法、日常维护及一般常见故障的诊断及排除等。并在培训时免费提供完整的培训资料，其中包括使用说明、工作原理、技术图纸、注意事项、安装调试方法和维修指南等。</w:t>
      </w:r>
      <w:r/>
    </w:p>
    <w:p>
      <w:pPr>
        <w:ind w:firstLine="480"/>
        <w:spacing w:line="360" w:lineRule="auto"/>
        <w:rPr>
          <w:rFonts w:asciiTheme="minorEastAsia" w:hAnsiTheme="minorEastAsia" w:eastAsiaTheme="minorEastAsia"/>
          <w:sz w:val="24"/>
          <w:szCs w:val="24"/>
        </w:rPr>
      </w:pPr>
      <w:r>
        <w:rPr>
          <w:rFonts w:hint="eastAsia" w:hAnsi="宋体" w:cs="宋体"/>
          <w:bCs/>
          <w:i w:val="0"/>
          <w:iCs w:val="0"/>
          <w:color w:val="auto"/>
          <w:sz w:val="24"/>
          <w:szCs w:val="24"/>
          <w:lang w:val="en-US" w:eastAsia="zh-CN"/>
        </w:rPr>
        <w:t xml:space="preserve">10</w:t>
      </w:r>
      <w:r>
        <w:rPr>
          <w:rFonts w:hint="eastAsia" w:hAnsi="宋体" w:cs="宋体"/>
          <w:bCs/>
          <w:i w:val="0"/>
          <w:iCs w:val="0"/>
          <w:color w:val="auto"/>
          <w:sz w:val="24"/>
          <w:szCs w:val="24"/>
        </w:rPr>
        <w:t xml:space="preserve">、</w:t>
      </w:r>
      <w:r>
        <w:rPr>
          <w:rFonts w:hint="eastAsia" w:asciiTheme="minorEastAsia" w:hAnsiTheme="minorEastAsia" w:eastAsiaTheme="minorEastAsia"/>
          <w:sz w:val="24"/>
          <w:szCs w:val="24"/>
        </w:rPr>
        <w:t xml:space="preserve">本次招标全部内容为“交钥匙”项目，一切费用均包含在报价内，请各投标人认真考虑其各种风险。伴随服务的费用均已含在合同价款中，采购人不再另行支付。</w:t>
      </w:r>
      <w:r/>
    </w:p>
    <w:p>
      <w:pPr>
        <w:pStyle w:val="790"/>
        <w:ind w:firstLine="480"/>
      </w:pPr>
      <w:r/>
      <w:r/>
    </w:p>
    <w:p>
      <w:p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Style w:val="1029"/>
          <w:rFonts w:ascii="黑体" w:hAnsi="黑体" w:cs="黑体"/>
        </w:rPr>
        <w:t xml:space="preserve">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p>
    <w:tbl>
      <w:tblPr>
        <w:tblStyle w:val="78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1477"/>
        <w:gridCol w:w="55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3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满足招标文件全部实质性要求，且按照评审因素的量化指标评审得分最高的投标人为中标候选人。</w:t>
            </w:r>
            <w:r/>
          </w:p>
        </w:tc>
      </w:tr>
    </w:tbl>
    <w:p>
      <w:pPr>
        <w:spacing w:before="120" w:after="120"/>
        <w:pBdr>
          <w:top w:val="none" w:color="000000" w:sz="0" w:space="0"/>
          <w:left w:val="none" w:color="000000" w:sz="0" w:space="0"/>
          <w:bottom w:val="none" w:color="000000" w:sz="0" w:space="0"/>
          <w:right w:val="none" w:color="000000" w:sz="0" w:space="0"/>
        </w:pBdr>
      </w:pPr>
      <w:r/>
      <w:r/>
    </w:p>
    <w:p>
      <w:pPr>
        <w:ind w:firstLine="439"/>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39"/>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本项目专门面向中小企业：否</w:t>
      </w:r>
      <w:r/>
    </w:p>
    <w:tbl>
      <w:tblPr>
        <w:tblStyle w:val="78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2"/>
        <w:gridCol w:w="70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否</w:t>
            </w:r>
            <w:r/>
          </w:p>
        </w:tc>
      </w:tr>
    </w:tbl>
    <w:p>
      <w:pPr>
        <w:ind w:firstLine="439"/>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20%</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19"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20%</w:t>
      </w:r>
      <w:r>
        <w:rPr>
          <w:rFonts w:ascii="宋体" w:hAnsi="宋体" w:cs="宋体"/>
          <w:color w:val="000000"/>
          <w:sz w:val="24"/>
        </w:rPr>
        <w:t xml:space="preserve">的价格扣除，用扣除后的价格参与评审。</w:t>
      </w:r>
      <w:r/>
    </w:p>
    <w:p>
      <w:pPr>
        <w:ind w:left="119"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19"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20%</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6%</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20%</w:t>
      </w:r>
      <w:r>
        <w:rPr>
          <w:rFonts w:ascii="宋体" w:hAnsi="宋体" w:cs="宋体"/>
          <w:color w:val="000000"/>
          <w:sz w:val="24"/>
        </w:rPr>
        <w:t xml:space="preserve">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w:t>
      </w:r>
      <w:r/>
    </w:p>
    <w:tbl>
      <w:tblPr>
        <w:tblStyle w:val="761"/>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2"/>
        <w:gridCol w:w="7586"/>
      </w:tblGrid>
      <w:tr>
        <w:trPr>
          <w:jc w:val="center"/>
          <w:trHeight w:val="440"/>
        </w:trPr>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4210" w:type="pct"/>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评分标准</w:t>
            </w:r>
            <w:r/>
          </w:p>
        </w:tc>
      </w:tr>
      <w:tr>
        <w:trPr>
          <w:jc w:val="center"/>
          <w:trHeight w:val="907"/>
        </w:trPr>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报价分</w:t>
            </w:r>
            <w:r/>
          </w:p>
          <w:p>
            <w:pPr>
              <w:pStyle w:val="790"/>
              <w:jc w:val="center"/>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 xml:space="preserve">（30分）</w:t>
            </w:r>
            <w:r/>
          </w:p>
        </w:tc>
        <w:tc>
          <w:tcPr>
            <w:tcBorders>
              <w:top w:val="single" w:color="auto" w:sz="4" w:space="0"/>
              <w:left w:val="single" w:color="auto" w:sz="4" w:space="0"/>
              <w:bottom w:val="single" w:color="auto" w:sz="4" w:space="0"/>
              <w:right w:val="single" w:color="auto" w:sz="4" w:space="0"/>
            </w:tcBorders>
            <w:tcW w:w="4210" w:type="pct"/>
            <w:vAlign w:val="center"/>
            <w:textDirection w:val="lrTb"/>
            <w:noWrap w:val="false"/>
          </w:tcPr>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以满足招标文件要求的最低投标报价为评标基准价，得满分30分。其</w:t>
            </w:r>
            <w:r>
              <w:rPr>
                <w:rFonts w:hint="eastAsia" w:ascii="宋体" w:hAnsi="宋体" w:cs="宋体"/>
                <w:color w:val="000000" w:themeColor="text1"/>
                <w:sz w:val="24"/>
                <w:szCs w:val="24"/>
                <w:lang w:val="en-US" w:eastAsia="zh-CN"/>
                <w14:textFill>
                  <w14:solidFill>
                    <w14:schemeClr w14:val="tx1"/>
                  </w14:solidFill>
                </w14:textFill>
              </w:rPr>
              <w:t xml:space="preserve">他</w:t>
            </w:r>
            <w:r>
              <w:rPr>
                <w:rFonts w:hint="eastAsia" w:ascii="宋体" w:hAnsi="宋体" w:cs="宋体"/>
                <w:color w:val="000000" w:themeColor="text1"/>
                <w:sz w:val="24"/>
                <w:szCs w:val="24"/>
                <w14:textFill>
                  <w14:solidFill>
                    <w14:schemeClr w14:val="tx1"/>
                  </w14:solidFill>
                </w14:textFill>
              </w:rPr>
              <w:t xml:space="preserve">投标报价得分＝（评标基准价/其他投标报价）×30×100％（保留两位小数）</w:t>
            </w:r>
            <w:r/>
          </w:p>
        </w:tc>
      </w:tr>
      <w:tr>
        <w:trPr>
          <w:jc w:val="center"/>
          <w:trHeight w:val="679"/>
        </w:trPr>
        <w:tc>
          <w:tcPr>
            <w:tcBorders>
              <w:top w:val="single" w:color="auto" w:sz="4" w:space="0"/>
              <w:left w:val="single" w:color="auto" w:sz="4" w:space="0"/>
              <w:bottom w:val="single" w:color="auto" w:sz="4" w:space="0"/>
              <w:right w:val="single" w:color="auto" w:sz="4" w:space="0"/>
            </w:tcBorders>
            <w:tcW w:w="789" w:type="pct"/>
            <w:vAlign w:val="center"/>
            <w:textDirection w:val="lrTb"/>
            <w:noWrap w:val="false"/>
          </w:tcPr>
          <w:p>
            <w:pPr>
              <w:jc w:val="center"/>
              <w:rPr>
                <w:rFonts w:ascii="宋体" w:hAnsi="宋体" w:cs="宋体"/>
                <w:b/>
                <w:color w:val="auto"/>
                <w:sz w:val="24"/>
                <w:szCs w:val="24"/>
              </w:rPr>
            </w:pPr>
            <w:r>
              <w:rPr>
                <w:rFonts w:hint="eastAsia" w:ascii="宋体" w:hAnsi="宋体" w:cs="宋体"/>
                <w:b/>
                <w:color w:val="auto"/>
                <w:sz w:val="24"/>
                <w:szCs w:val="24"/>
              </w:rPr>
              <w:t xml:space="preserve">投标产品技术性能</w:t>
            </w:r>
            <w:r/>
          </w:p>
          <w:p>
            <w:pPr>
              <w:pStyle w:val="790"/>
              <w:jc w:val="center"/>
              <w:rPr>
                <w:rFonts w:hAnsi="宋体"/>
                <w:b/>
                <w:color w:val="auto"/>
              </w:rPr>
            </w:pPr>
            <w:r>
              <w:rPr>
                <w:rFonts w:hint="eastAsia" w:hAnsi="宋体"/>
                <w:b/>
                <w:color w:val="auto"/>
              </w:rPr>
              <w:t xml:space="preserve">（</w:t>
            </w:r>
            <w:r>
              <w:rPr>
                <w:rFonts w:hint="eastAsia" w:hAnsi="宋体"/>
                <w:b/>
                <w:color w:val="auto"/>
                <w:lang w:val="en-US" w:eastAsia="zh-CN"/>
              </w:rPr>
              <w:t xml:space="preserve">36</w:t>
            </w:r>
            <w:r>
              <w:rPr>
                <w:rFonts w:hint="eastAsia" w:hAnsi="宋体"/>
                <w:b/>
                <w:color w:val="auto"/>
              </w:rPr>
              <w:t xml:space="preserve">分）</w:t>
            </w:r>
            <w:r/>
          </w:p>
        </w:tc>
        <w:tc>
          <w:tcPr>
            <w:tcBorders>
              <w:top w:val="single" w:color="auto" w:sz="4" w:space="0"/>
              <w:left w:val="single" w:color="auto" w:sz="4" w:space="0"/>
              <w:bottom w:val="single" w:color="auto" w:sz="4" w:space="0"/>
              <w:right w:val="single" w:color="auto" w:sz="4" w:space="0"/>
            </w:tcBorders>
            <w:tcW w:w="4210" w:type="pct"/>
            <w:vAlign w:val="center"/>
            <w:textDirection w:val="lrTb"/>
            <w:noWrap w:val="false"/>
          </w:tcPr>
          <w:p>
            <w:pPr>
              <w:rPr>
                <w:rFonts w:ascii="宋体" w:hAnsi="宋体" w:cs="宋体"/>
                <w:color w:val="auto"/>
                <w:sz w:val="24"/>
                <w:szCs w:val="24"/>
              </w:rPr>
            </w:pPr>
            <w:r>
              <w:rPr>
                <w:rFonts w:hint="eastAsia" w:ascii="宋体" w:hAnsi="宋体" w:cs="宋体"/>
                <w:color w:val="auto"/>
                <w:sz w:val="24"/>
                <w:szCs w:val="24"/>
                <w:highlight w:val="none"/>
              </w:rPr>
              <w:t xml:space="preserve">根据投标人所投产品技术参数，产品性能完全满足招标文件要求得</w:t>
            </w:r>
            <w:r>
              <w:rPr>
                <w:rFonts w:hint="eastAsia" w:ascii="宋体" w:hAnsi="宋体" w:cs="宋体"/>
                <w:color w:val="auto"/>
                <w:sz w:val="24"/>
                <w:szCs w:val="24"/>
                <w:highlight w:val="none"/>
                <w:lang w:val="en-US" w:eastAsia="zh-CN"/>
              </w:rPr>
              <w:t xml:space="preserve">36</w:t>
            </w:r>
            <w:r>
              <w:rPr>
                <w:rFonts w:hint="eastAsia" w:ascii="宋体" w:hAnsi="宋体" w:cs="宋体"/>
                <w:color w:val="auto"/>
                <w:sz w:val="24"/>
                <w:szCs w:val="24"/>
                <w:highlight w:val="none"/>
              </w:rPr>
              <w:t xml:space="preserve">分；产品要求中 “▲”为重要指标项，每有1项不符合招标文件要求的扣</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项目每有1项不符合招标文件要求的扣0.4分。扣完为止。</w:t>
            </w:r>
            <w:r>
              <w:rPr>
                <w:rFonts w:hint="eastAsia" w:ascii="宋体" w:hAnsi="宋体" w:cs="宋体"/>
                <w:b/>
                <w:bCs/>
                <w:color w:val="auto"/>
                <w:sz w:val="24"/>
                <w:szCs w:val="24"/>
                <w:highlight w:val="none"/>
              </w:rPr>
              <w:t xml:space="preserve">（加</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项产品性能证明应提供相对应的第三方检测报告。</w:t>
            </w:r>
            <w:r>
              <w:rPr>
                <w:rFonts w:hint="eastAsia" w:ascii="宋体" w:hAnsi="宋体" w:cs="宋体"/>
                <w:b/>
                <w:bCs/>
                <w:color w:val="auto"/>
                <w:sz w:val="24"/>
                <w:szCs w:val="24"/>
                <w:highlight w:val="none"/>
                <w:lang w:val="en-US" w:eastAsia="zh-CN"/>
              </w:rPr>
              <w:t xml:space="preserve">“</w:t>
            </w:r>
            <w:r>
              <w:rPr>
                <w:rFonts w:hint="eastAsia" w:ascii="微软雅黑" w:hAnsi="微软雅黑" w:eastAsia="微软雅黑" w:cs="微软雅黑"/>
                <w:color w:val="000000" w:themeColor="text1"/>
                <w:sz w:val="24"/>
                <w:szCs w:val="24"/>
                <w14:textFill>
                  <w14:solidFill>
                    <w14:schemeClr w14:val="tx1"/>
                  </w14:solidFill>
                </w14:textFill>
              </w:rPr>
              <w:t xml:space="preserve">∆</w:t>
            </w:r>
            <w:r>
              <w:rPr>
                <w:rFonts w:hint="eastAsia" w:ascii="宋体" w:hAnsi="宋体" w:cs="宋体"/>
                <w:b/>
                <w:bCs/>
                <w:color w:val="auto"/>
                <w:sz w:val="24"/>
                <w:szCs w:val="24"/>
                <w:highlight w:val="none"/>
                <w:lang w:val="en-US" w:eastAsia="zh-CN"/>
              </w:rPr>
              <w:t xml:space="preserve">”按采购需求中的要求提供证明文件，采购需求中未要求提供证明文件得</w:t>
            </w:r>
            <w:bookmarkStart w:id="30" w:name="_GoBack"/>
            <w:r/>
            <w:bookmarkEnd w:id="30"/>
            <w:r>
              <w:rPr>
                <w:rFonts w:hint="eastAsia" w:ascii="宋体" w:hAnsi="宋体" w:cs="宋体"/>
                <w:b/>
                <w:bCs/>
                <w:color w:val="auto"/>
                <w:sz w:val="24"/>
                <w:szCs w:val="24"/>
                <w:highlight w:val="none"/>
              </w:rPr>
              <w:t xml:space="preserve">在“技术参数响应及偏离表”中逐项</w:t>
            </w:r>
            <w:r>
              <w:rPr>
                <w:rFonts w:hint="eastAsia" w:ascii="宋体" w:hAnsi="宋体" w:cs="宋体"/>
                <w:b/>
                <w:bCs/>
                <w:color w:val="auto"/>
                <w:sz w:val="24"/>
                <w:szCs w:val="24"/>
                <w:highlight w:val="none"/>
                <w:lang w:val="en-US" w:eastAsia="zh-CN"/>
              </w:rPr>
              <w:t xml:space="preserve">响应</w:t>
            </w:r>
            <w:r>
              <w:rPr>
                <w:rFonts w:hint="eastAsia" w:ascii="宋体" w:hAnsi="宋体" w:cs="宋体"/>
                <w:b/>
                <w:bCs/>
                <w:color w:val="auto"/>
                <w:sz w:val="24"/>
                <w:szCs w:val="24"/>
                <w:highlight w:val="none"/>
              </w:rPr>
              <w:t xml:space="preserve">）</w:t>
            </w:r>
            <w:r/>
          </w:p>
        </w:tc>
      </w:tr>
      <w:tr>
        <w:trPr>
          <w:jc w:val="center"/>
          <w:trHeight w:val="835"/>
        </w:trPr>
        <w:tc>
          <w:tcPr>
            <w:tcBorders>
              <w:top w:val="single" w:color="auto" w:sz="4" w:space="0"/>
              <w:left w:val="single" w:color="auto" w:sz="4" w:space="0"/>
              <w:right w:val="single" w:color="auto" w:sz="4" w:space="0"/>
            </w:tcBorders>
            <w:tcW w:w="789" w:type="pct"/>
            <w:vAlign w:val="center"/>
            <w:vMerge w:val="restart"/>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服务方案</w:t>
            </w:r>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w:t>
            </w:r>
            <w:r>
              <w:rPr>
                <w:rFonts w:hint="eastAsia" w:ascii="宋体" w:hAnsi="宋体" w:cs="宋体"/>
                <w:b/>
                <w:color w:val="000000" w:themeColor="text1"/>
                <w:sz w:val="24"/>
                <w:szCs w:val="24"/>
                <w:lang w:val="en-US" w:eastAsia="zh-CN"/>
                <w14:textFill>
                  <w14:solidFill>
                    <w14:schemeClr w14:val="tx1"/>
                  </w14:solidFill>
                </w14:textFill>
              </w:rPr>
              <w:t xml:space="preserve">12</w:t>
            </w:r>
            <w:r>
              <w:rPr>
                <w:rFonts w:hint="eastAsia" w:ascii="宋体" w:hAnsi="宋体" w:cs="宋体"/>
                <w:b/>
                <w:color w:val="000000" w:themeColor="text1"/>
                <w:sz w:val="24"/>
                <w:szCs w:val="24"/>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210" w:type="pct"/>
            <w:vAlign w:val="center"/>
            <w:textDirection w:val="lrTb"/>
            <w:noWrap w:val="false"/>
          </w:tcPr>
          <w:p>
            <w:pPr>
              <w:rPr>
                <w:rFonts w:ascii="宋体" w:hAnsi="宋体" w:cs="宋体"/>
                <w:b/>
                <w:iCs/>
                <w:color w:val="000000" w:themeColor="text1"/>
                <w:sz w:val="24"/>
                <w:szCs w:val="24"/>
                <w14:textFill>
                  <w14:solidFill>
                    <w14:schemeClr w14:val="tx1"/>
                  </w14:solidFill>
                </w14:textFill>
              </w:rPr>
            </w:pPr>
            <w:r>
              <w:rPr>
                <w:rFonts w:hint="eastAsia" w:ascii="宋体" w:hAnsi="宋体" w:cs="宋体"/>
                <w:b/>
                <w:iCs/>
                <w:color w:val="000000" w:themeColor="text1"/>
                <w:sz w:val="24"/>
                <w:szCs w:val="24"/>
                <w:lang w:val="en-US" w:eastAsia="zh-CN"/>
                <w14:textFill>
                  <w14:solidFill>
                    <w14:schemeClr w14:val="tx1"/>
                  </w14:solidFill>
                </w14:textFill>
              </w:rPr>
              <w:t xml:space="preserve">实施</w:t>
            </w:r>
            <w:r>
              <w:rPr>
                <w:rFonts w:hint="eastAsia" w:ascii="宋体" w:hAnsi="宋体" w:cs="宋体"/>
                <w:b/>
                <w:iCs/>
                <w:color w:val="000000" w:themeColor="text1"/>
                <w:sz w:val="24"/>
                <w:szCs w:val="24"/>
                <w14:textFill>
                  <w14:solidFill>
                    <w14:schemeClr w14:val="tx1"/>
                  </w14:solidFill>
                </w14:textFill>
              </w:rPr>
              <w:t xml:space="preserve">进度及安装方案</w:t>
            </w:r>
            <w:r/>
          </w:p>
          <w:p>
            <w:pPr>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方案优于采购需求的得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分，满足采购需求的得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分，不满足采购需求或未提供的不得分。</w:t>
            </w:r>
            <w:r/>
          </w:p>
        </w:tc>
      </w:tr>
      <w:tr>
        <w:trPr>
          <w:jc w:val="center"/>
          <w:trHeight w:val="835"/>
        </w:trPr>
        <w:tc>
          <w:tcPr>
            <w:tcBorders>
              <w:left w:val="single" w:color="auto" w:sz="4" w:space="0"/>
              <w:right w:val="single" w:color="auto" w:sz="4" w:space="0"/>
            </w:tcBorders>
            <w:tcW w:w="789" w:type="pct"/>
            <w:vAlign w:val="center"/>
            <w:vMerge w:val="continue"/>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10" w:type="pct"/>
            <w:vAlign w:val="center"/>
            <w:textDirection w:val="lrTb"/>
            <w:noWrap w:val="false"/>
          </w:tcPr>
          <w:p>
            <w:pPr>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设备供货验货</w:t>
            </w:r>
            <w:r/>
          </w:p>
          <w:p>
            <w:pPr>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方案优于采购需求的得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分，满足采购需求的得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分，不满足采购需求或未提供的不得分。</w:t>
            </w:r>
            <w:r/>
          </w:p>
        </w:tc>
      </w:tr>
      <w:tr>
        <w:trPr>
          <w:jc w:val="center"/>
          <w:trHeight w:val="325"/>
        </w:trPr>
        <w:tc>
          <w:tcPr>
            <w:tcBorders>
              <w:left w:val="single" w:color="auto" w:sz="4" w:space="0"/>
              <w:right w:val="single" w:color="auto" w:sz="4" w:space="0"/>
            </w:tcBorders>
            <w:tcW w:w="789" w:type="pct"/>
            <w:vAlign w:val="center"/>
            <w:vMerge w:val="continue"/>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10" w:type="pct"/>
            <w:vAlign w:val="center"/>
            <w:textDirection w:val="lrTb"/>
            <w:noWrap w:val="false"/>
          </w:tcPr>
          <w:p>
            <w:pPr>
              <w:spacing w:line="36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售后服务方案</w:t>
            </w:r>
            <w:r/>
          </w:p>
          <w:p>
            <w:pPr>
              <w:spacing w:line="3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方案优于采购需求的得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分，满足采购需求的得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分，不满足采购需求或未提供的不得分。</w:t>
            </w:r>
            <w:r/>
          </w:p>
        </w:tc>
      </w:tr>
      <w:tr>
        <w:trPr>
          <w:jc w:val="center"/>
          <w:trHeight w:val="835"/>
        </w:trPr>
        <w:tc>
          <w:tcPr>
            <w:tcBorders>
              <w:left w:val="single" w:color="auto" w:sz="4" w:space="0"/>
              <w:bottom w:val="single" w:color="auto" w:sz="4" w:space="0"/>
              <w:right w:val="single" w:color="auto" w:sz="4" w:space="0"/>
            </w:tcBorders>
            <w:tcW w:w="789" w:type="pct"/>
            <w:vAlign w:val="center"/>
            <w:vMerge w:val="continue"/>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10" w:type="pct"/>
            <w:vAlign w:val="center"/>
            <w:textDirection w:val="lrTb"/>
            <w:noWrap w:val="false"/>
          </w:tcPr>
          <w:p>
            <w:pPr>
              <w:spacing w:line="36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培训方案</w:t>
            </w:r>
            <w:r/>
          </w:p>
          <w:p>
            <w:pPr>
              <w:spacing w:line="3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方案优于采购需求的得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分，满足采购需求的得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分，不满足采购需求或未提供的不得分。</w:t>
            </w:r>
            <w:r/>
          </w:p>
        </w:tc>
      </w:tr>
      <w:tr>
        <w:trPr>
          <w:jc w:val="center"/>
          <w:trHeight w:val="416"/>
        </w:trPr>
        <w:tc>
          <w:tcPr>
            <w:tcBorders>
              <w:top w:val="single" w:color="auto" w:sz="4" w:space="0"/>
              <w:left w:val="single" w:color="auto" w:sz="4" w:space="0"/>
              <w:right w:val="single" w:color="auto" w:sz="4" w:space="0"/>
            </w:tcBorders>
            <w:tcW w:w="789" w:type="pct"/>
            <w:vAlign w:val="center"/>
            <w:vMerge w:val="restart"/>
            <w:textDirection w:val="lrTb"/>
            <w:noWrap w:val="false"/>
          </w:tcPr>
          <w:p>
            <w:pPr>
              <w:jc w:val="center"/>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jc w:val="center"/>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jc w:val="center"/>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综合实力</w:t>
            </w:r>
            <w:r/>
          </w:p>
          <w:p>
            <w:pPr>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auto"/>
                <w:sz w:val="24"/>
                <w:szCs w:val="24"/>
              </w:rPr>
              <w:t xml:space="preserve">（</w:t>
            </w:r>
            <w:r>
              <w:rPr>
                <w:rFonts w:hint="eastAsia" w:ascii="宋体" w:hAnsi="宋体" w:cs="宋体"/>
                <w:b/>
                <w:color w:val="auto"/>
                <w:sz w:val="24"/>
                <w:szCs w:val="24"/>
                <w:lang w:val="en-US" w:eastAsia="zh-CN"/>
              </w:rPr>
              <w:t xml:space="preserve">22</w:t>
            </w:r>
            <w:r>
              <w:rPr>
                <w:rFonts w:hint="eastAsia" w:ascii="宋体" w:hAnsi="宋体" w:cs="宋体"/>
                <w:b/>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4210" w:type="pct"/>
            <w:vAlign w:val="center"/>
            <w:textDirection w:val="lrTb"/>
            <w:noWrap w:val="false"/>
          </w:tcPr>
          <w:p>
            <w:pP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投标人或制造商</w:t>
            </w:r>
            <w:r>
              <w:rPr>
                <w:rFonts w:hint="eastAsia" w:ascii="宋体" w:hAnsi="宋体" w:cs="宋体"/>
                <w:color w:val="000000" w:themeColor="text1"/>
                <w:sz w:val="24"/>
                <w:szCs w:val="24"/>
                <w:highlight w:val="none"/>
                <w14:textFill>
                  <w14:solidFill>
                    <w14:schemeClr w14:val="tx1"/>
                  </w14:solidFill>
                </w14:textFill>
              </w:rPr>
              <w:t xml:space="preserve">具有气压、湿度、温度、雨量《计量标准考核证书》，每提供一项，得1分，满分4分。</w:t>
            </w:r>
            <w:r>
              <w:rPr>
                <w:rFonts w:hint="eastAsia" w:ascii="宋体" w:hAnsi="宋体" w:cs="宋体"/>
                <w:b/>
                <w:bCs/>
                <w:color w:val="000000" w:themeColor="text1"/>
                <w:sz w:val="24"/>
                <w:szCs w:val="24"/>
                <w:highlight w:val="none"/>
                <w14:textFill>
                  <w14:solidFill>
                    <w14:schemeClr w14:val="tx1"/>
                  </w14:solidFill>
                </w14:textFill>
              </w:rPr>
              <w:t xml:space="preserve">（提供证书原件，扫描上传）</w:t>
            </w:r>
            <w:r/>
          </w:p>
        </w:tc>
      </w:tr>
      <w:tr>
        <w:trPr>
          <w:jc w:val="center"/>
          <w:trHeight w:val="1815"/>
        </w:trPr>
        <w:tc>
          <w:tcPr>
            <w:tcBorders>
              <w:left w:val="single" w:color="auto" w:sz="4" w:space="0"/>
              <w:right w:val="single" w:color="auto" w:sz="4" w:space="0"/>
            </w:tcBorders>
            <w:tcW w:w="789" w:type="pct"/>
            <w:vAlign w:val="center"/>
            <w:vMerge w:val="continue"/>
            <w:textDirection w:val="lrTb"/>
            <w:noWrap w:val="false"/>
          </w:tcPr>
          <w:p>
            <w:pP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10" w:type="pct"/>
            <w:vAlign w:val="center"/>
            <w:textDirection w:val="lrTb"/>
            <w:noWrap w:val="false"/>
          </w:tcPr>
          <w:p>
            <w:pPr>
              <w:spacing w:line="3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投标人或制造商</w:t>
            </w:r>
            <w:r>
              <w:rPr>
                <w:rFonts w:hint="eastAsia" w:ascii="宋体" w:hAnsi="宋体" w:cs="宋体"/>
                <w:color w:val="000000" w:themeColor="text1"/>
                <w:sz w:val="24"/>
                <w:szCs w:val="24"/>
                <w:highlight w:val="none"/>
                <w14:textFill>
                  <w14:solidFill>
                    <w14:schemeClr w14:val="tx1"/>
                  </w14:solidFill>
                </w14:textFill>
              </w:rPr>
              <w:t xml:space="preserve">具备自主测试的质检能力。对于“盐雾、紫外老化、淋雨、恒温(高温地温)、砂尘、机械振动冲击、雷击浪涌、雷击衰减、群脉冲、静电放电、传导抗骚扰、风洞”等方面有完善的质检项目，每提供一项证明文件得1分，满分5分。</w:t>
            </w:r>
            <w:r>
              <w:rPr>
                <w:rFonts w:hint="eastAsia" w:ascii="宋体" w:hAnsi="宋体" w:cs="宋体"/>
                <w:b/>
                <w:bCs/>
                <w:color w:val="000000" w:themeColor="text1"/>
                <w:sz w:val="24"/>
                <w:szCs w:val="24"/>
                <w:highlight w:val="none"/>
                <w14:textFill>
                  <w14:solidFill>
                    <w14:schemeClr w14:val="tx1"/>
                  </w14:solidFill>
                </w14:textFill>
              </w:rPr>
              <w:t xml:space="preserve">（提供证明文件原件，扫描上传）</w:t>
            </w:r>
            <w:r/>
          </w:p>
        </w:tc>
      </w:tr>
      <w:tr>
        <w:trPr>
          <w:jc w:val="center"/>
          <w:trHeight w:val="835"/>
        </w:trPr>
        <w:tc>
          <w:tcPr>
            <w:tcBorders>
              <w:left w:val="single" w:color="auto" w:sz="4" w:space="0"/>
              <w:right w:val="single" w:color="auto" w:sz="4" w:space="0"/>
            </w:tcBorders>
            <w:tcW w:w="789" w:type="pct"/>
            <w:vAlign w:val="center"/>
            <w:vMerge w:val="continue"/>
            <w:textDirection w:val="lrTb"/>
            <w:noWrap w:val="false"/>
          </w:tcPr>
          <w:p>
            <w:pP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10" w:type="pct"/>
            <w:vAlign w:val="center"/>
            <w:textDirection w:val="lrTb"/>
            <w:noWrap w:val="false"/>
          </w:tcPr>
          <w:p>
            <w:pPr>
              <w:spacing w:line="36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现场安装、调试的员工须具有高空作业《特种作业操作证》。</w:t>
            </w:r>
            <w:r>
              <w:rPr>
                <w:rFonts w:hint="eastAsia" w:ascii="宋体" w:hAnsi="宋体" w:cs="宋体"/>
                <w:b/>
                <w:bCs/>
                <w:color w:val="000000" w:themeColor="text1"/>
                <w:sz w:val="24"/>
                <w:szCs w:val="24"/>
                <w14:textFill>
                  <w14:solidFill>
                    <w14:schemeClr w14:val="tx1"/>
                  </w14:solidFill>
                </w14:textFill>
              </w:rPr>
              <w:t xml:space="preserve">（提供本公司有效期内的操作证原件及近三个月内任意一个月为其缴纳社保的证明材料，扫描上传）</w:t>
            </w:r>
            <w:r>
              <w:rPr>
                <w:rFonts w:hint="eastAsia" w:ascii="宋体" w:hAnsi="宋体" w:cs="宋体"/>
                <w:color w:val="000000" w:themeColor="text1"/>
                <w:sz w:val="24"/>
                <w:szCs w:val="24"/>
                <w14:textFill>
                  <w14:solidFill>
                    <w14:schemeClr w14:val="tx1"/>
                  </w14:solidFill>
                </w14:textFill>
              </w:rPr>
              <w:t xml:space="preserve">每提供一个得1分，满分3分。</w:t>
            </w:r>
            <w:r/>
          </w:p>
        </w:tc>
      </w:tr>
      <w:tr>
        <w:trPr>
          <w:jc w:val="center"/>
          <w:trHeight w:val="835"/>
        </w:trPr>
        <w:tc>
          <w:tcPr>
            <w:tcBorders>
              <w:left w:val="single" w:color="auto" w:sz="4" w:space="0"/>
              <w:right w:val="single" w:color="auto" w:sz="4" w:space="0"/>
            </w:tcBorders>
            <w:tcW w:w="789" w:type="pct"/>
            <w:vAlign w:val="center"/>
            <w:vMerge w:val="continue"/>
            <w:textDirection w:val="lrTb"/>
            <w:noWrap w:val="false"/>
          </w:tcPr>
          <w:p>
            <w:pP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10" w:type="pct"/>
            <w:vAlign w:val="center"/>
            <w:textDirection w:val="lrTb"/>
            <w:noWrap w:val="false"/>
          </w:tcPr>
          <w:p>
            <w:pPr>
              <w:spacing w:line="36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投标人提供2022年1月1日（以合同时间为准）至今，承担过类似项目的业绩，</w:t>
            </w:r>
            <w:bookmarkStart w:id="29" w:name="OLE_LINK6"/>
            <w:r>
              <w:rPr>
                <w:rFonts w:hint="eastAsia" w:ascii="宋体" w:hAnsi="宋体" w:cs="宋体"/>
                <w:color w:val="000000" w:themeColor="text1"/>
                <w:sz w:val="24"/>
                <w:szCs w:val="24"/>
                <w14:textFill>
                  <w14:solidFill>
                    <w14:schemeClr w14:val="tx1"/>
                  </w14:solidFill>
                </w14:textFill>
              </w:rPr>
              <w:t xml:space="preserve">每提供一份得2分，满分8分。</w:t>
            </w:r>
            <w:bookmarkEnd w:id="29"/>
            <w:r>
              <w:rPr>
                <w:rFonts w:hint="eastAsia" w:ascii="宋体" w:hAnsi="宋体" w:cs="宋体"/>
                <w:b/>
                <w:bCs/>
                <w:color w:val="000000" w:themeColor="text1"/>
                <w:sz w:val="24"/>
                <w:szCs w:val="24"/>
                <w14:textFill>
                  <w14:solidFill>
                    <w14:schemeClr w14:val="tx1"/>
                  </w14:solidFill>
                </w14:textFill>
              </w:rPr>
              <w:t xml:space="preserve">（提供合同原件，扫描上传）</w:t>
            </w:r>
            <w:r/>
          </w:p>
        </w:tc>
      </w:tr>
      <w:tr>
        <w:trPr>
          <w:jc w:val="center"/>
          <w:trHeight w:val="835"/>
        </w:trPr>
        <w:tc>
          <w:tcPr>
            <w:tcBorders>
              <w:left w:val="single" w:color="auto" w:sz="4" w:space="0"/>
              <w:bottom w:val="single" w:color="auto" w:sz="4" w:space="0"/>
              <w:right w:val="single" w:color="auto" w:sz="4" w:space="0"/>
            </w:tcBorders>
            <w:tcW w:w="789" w:type="pct"/>
            <w:vAlign w:val="center"/>
            <w:vMerge w:val="continue"/>
            <w:textDirection w:val="lrTb"/>
            <w:noWrap w:val="false"/>
          </w:tcPr>
          <w:p>
            <w:pPr>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210" w:type="pct"/>
            <w:vAlign w:val="center"/>
            <w:textDirection w:val="lrTb"/>
            <w:noWrap w:val="false"/>
          </w:tcPr>
          <w:p>
            <w:pPr>
              <w:ind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Pr>
            <w:r>
              <w:rPr>
                <w:rFonts w:hint="eastAsia" w:ascii="宋体" w:hAnsi="宋体"/>
                <w:color w:val="auto"/>
                <w:sz w:val="24"/>
                <w:szCs w:val="24"/>
              </w:rPr>
              <w:t xml:space="preserve">1.投标</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响应</w:t>
            </w:r>
            <w:r>
              <w:rPr>
                <w:rFonts w:hint="eastAsia" w:ascii="宋体" w:hAnsi="宋体"/>
                <w:color w:val="auto"/>
                <w:sz w:val="24"/>
                <w:szCs w:val="24"/>
                <w:lang w:eastAsia="zh-CN"/>
              </w:rPr>
              <w:t xml:space="preserve">）</w:t>
            </w:r>
            <w:r>
              <w:rPr>
                <w:rFonts w:hint="eastAsia" w:ascii="宋体" w:hAnsi="宋体"/>
                <w:color w:val="auto"/>
                <w:sz w:val="24"/>
                <w:szCs w:val="24"/>
              </w:rPr>
              <w:t xml:space="preserve">产品属于财政部、国家发改委公布的“节能产品品目清单”范围内的，投标人</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供应商</w:t>
            </w:r>
            <w:r>
              <w:rPr>
                <w:rFonts w:hint="eastAsia" w:ascii="宋体" w:hAnsi="宋体"/>
                <w:color w:val="auto"/>
                <w:sz w:val="24"/>
                <w:szCs w:val="24"/>
                <w:lang w:eastAsia="zh-CN"/>
              </w:rPr>
              <w:t xml:space="preserve">）</w:t>
            </w:r>
            <w:r>
              <w:rPr>
                <w:rFonts w:hint="eastAsia" w:ascii="宋体" w:hAnsi="宋体"/>
                <w:color w:val="auto"/>
                <w:sz w:val="24"/>
                <w:szCs w:val="24"/>
              </w:rPr>
              <w:t xml:space="preserve">提供国家确定的认证机构出具的、处于有效期之内的该节能产品认证证书复印件的，有1个得0.5分，</w:t>
            </w:r>
            <w:r>
              <w:rPr>
                <w:rFonts w:hint="eastAsia" w:ascii="宋体" w:hAnsi="宋体"/>
                <w:color w:val="auto"/>
                <w:sz w:val="24"/>
                <w:szCs w:val="24"/>
                <w:lang w:val="en-US" w:eastAsia="zh-CN"/>
              </w:rPr>
              <w:t xml:space="preserve">满分</w:t>
            </w:r>
            <w:r>
              <w:rPr>
                <w:rFonts w:hint="eastAsia" w:ascii="宋体" w:hAnsi="宋体"/>
                <w:color w:val="auto"/>
                <w:sz w:val="24"/>
                <w:szCs w:val="24"/>
              </w:rPr>
              <w:t xml:space="preserve">1分。如投标</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响应</w:t>
            </w:r>
            <w:r>
              <w:rPr>
                <w:rFonts w:hint="eastAsia" w:ascii="宋体" w:hAnsi="宋体"/>
                <w:color w:val="auto"/>
                <w:sz w:val="24"/>
                <w:szCs w:val="24"/>
                <w:lang w:eastAsia="zh-CN"/>
              </w:rPr>
              <w:t xml:space="preserve">）</w:t>
            </w:r>
            <w:r>
              <w:rPr>
                <w:rFonts w:hint="eastAsia" w:ascii="宋体" w:hAnsi="宋体"/>
                <w:color w:val="auto"/>
                <w:sz w:val="24"/>
                <w:szCs w:val="24"/>
              </w:rPr>
              <w:t xml:space="preserve">产品均属于政府强制采购节能产品品目清单范围内，本项不得分。</w:t>
            </w:r>
            <w:r/>
          </w:p>
          <w:p>
            <w:pPr>
              <w:ind w:firstLine="480"/>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投标(响应)产品属于财政部、生态环境部公布的“环境标志产品品目清单”范围内的，投标人(供应商)提供国家确定的认证机构出具的、处于有效期内的该投标(响应)产品环境标志产品认证证书复印件的，有1个得0.5分，满分1分”</w:t>
            </w:r>
            <w:r/>
          </w:p>
          <w:p>
            <w:pPr>
              <w:ind w:firstLine="482"/>
              <w:spacing w:line="360" w:lineRule="exact"/>
              <w:rPr>
                <w:rFonts w:ascii="宋体" w:hAnsi="宋体" w:cs="宋体"/>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sz w:val="24"/>
                <w:szCs w:val="24"/>
              </w:rPr>
              <w:t xml:space="preserve">（提供证书原件，扫描上传）</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pBdr>
          <w:top w:val="none" w:color="000000" w:sz="0" w:space="0"/>
          <w:left w:val="none" w:color="000000" w:sz="0" w:space="0"/>
          <w:bottom w:val="none" w:color="000000" w:sz="0" w:space="0"/>
          <w:right w:val="none" w:color="000000" w:sz="0" w:space="0"/>
        </w:pBdr>
      </w:pPr>
      <w:r>
        <w:br w:type="page" w:clear="all"/>
      </w:r>
      <w:r/>
    </w:p>
    <w:p>
      <w:pPr>
        <w:pStyle w:val="976"/>
      </w:pPr>
      <w:r>
        <w:rPr>
          <w:rFonts w:ascii="黑体" w:hAnsi="黑体" w:cs="黑体"/>
          <w:color w:val="000000"/>
        </w:rPr>
        <w:t xml:space="preserve">第六章投标文件格式</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rPr>
          <w:rFonts w:ascii="宋体" w:hAnsi="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cs="宋体"/>
          <w:b/>
          <w:bCs/>
          <w:color w:val="000000"/>
          <w:sz w:val="36"/>
          <w:szCs w:val="36"/>
        </w:rPr>
        <w:t xml:space="preserve">投标人名称 ：（加盖CA电子公章）</w:t>
      </w:r>
      <w:r/>
    </w:p>
    <w:p>
      <w:pPr>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bCs/>
          <w:color w:val="000000"/>
          <w:sz w:val="36"/>
          <w:szCs w:val="36"/>
        </w:rPr>
        <w:t xml:space="preserve">      日</w:t>
      </w:r>
      <w:r>
        <w:rPr>
          <w:rFonts w:hint="eastAsia" w:ascii="宋体" w:hAnsi="宋体" w:cs="宋体"/>
          <w:b/>
          <w:bCs/>
          <w:color w:val="000000"/>
          <w:sz w:val="36"/>
          <w:szCs w:val="36"/>
        </w:rPr>
        <w:t xml:space="preserve">      </w:t>
      </w:r>
      <w:r>
        <w:rPr>
          <w:rFonts w:ascii="宋体" w:hAnsi="宋体" w:cs="宋体"/>
          <w:b/>
          <w:bCs/>
          <w:color w:val="000000"/>
          <w:sz w:val="36"/>
          <w:szCs w:val="36"/>
        </w:rPr>
        <w:t xml:space="preserve">期 ：</w:t>
      </w:r>
      <w:r>
        <w:rPr>
          <w:rFonts w:ascii="宋体" w:hAnsi="宋体" w:cs="宋体"/>
          <w:b/>
          <w:bCs/>
          <w:color w:val="000000"/>
          <w:sz w:val="36"/>
          <w:szCs w:val="36"/>
          <w:u w:val="single"/>
        </w:rPr>
        <w:t xml:space="preserve">               </w:t>
      </w:r>
      <w:r/>
    </w:p>
    <w:p>
      <w:pPr>
        <w:jc w:val="center"/>
        <w:spacing w:line="437"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投标文件的组成</w:t>
      </w:r>
      <w:r/>
    </w:p>
    <w:p>
      <w:pPr>
        <w:jc w:val="center"/>
        <w:spacing w:line="437"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四、价格扣除证明文件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lef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w:t>
      </w:r>
      <w:r>
        <w:rPr>
          <w:rFonts w:hint="eastAsia" w:ascii="宋体" w:hAnsi="宋体" w:cs="宋体"/>
          <w:b/>
          <w:color w:val="000000"/>
          <w:sz w:val="24"/>
        </w:rPr>
        <w:t xml:space="preserve">                      </w:t>
      </w:r>
      <w:r>
        <w:rPr>
          <w:rFonts w:ascii="宋体" w:hAnsi="宋体" w:cs="宋体"/>
          <w:b/>
          <w:color w:val="000000"/>
          <w:sz w:val="24"/>
        </w:rPr>
        <w:t xml:space="preserve">开标一览表</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bl>
      <w:tblPr>
        <w:tblStyle w:val="786"/>
        <w:tblW w:w="0" w:type="auto"/>
        <w:tblInd w:w="12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0"/>
        <w:gridCol w:w="7183"/>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3"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投标分项报价表（采购包号：***）</w:t>
      </w:r>
      <w:r/>
    </w:p>
    <w:p>
      <w:pPr>
        <w:pBdr>
          <w:top w:val="none" w:color="000000" w:sz="0" w:space="0"/>
          <w:left w:val="none" w:color="000000" w:sz="0" w:space="0"/>
          <w:bottom w:val="none" w:color="000000" w:sz="0" w:space="0"/>
          <w:right w:val="none" w:color="000000" w:sz="0" w:space="0"/>
        </w:pBdr>
      </w:pPr>
      <w:r/>
      <w:r/>
    </w:p>
    <w:tbl>
      <w:tblPr>
        <w:tblStyle w:val="786"/>
        <w:tblW w:w="0" w:type="auto"/>
        <w:tblInd w:w="5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4"/>
        <w:gridCol w:w="696"/>
        <w:gridCol w:w="709"/>
        <w:gridCol w:w="850"/>
        <w:gridCol w:w="567"/>
        <w:gridCol w:w="850"/>
        <w:gridCol w:w="1276"/>
        <w:gridCol w:w="1559"/>
        <w:gridCol w:w="212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产品</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合同签订后</w:t>
            </w:r>
            <w:r>
              <w:rPr>
                <w:rFonts w:ascii="宋体" w:hAnsi="宋体" w:cs="宋体"/>
                <w:color w:val="000000"/>
                <w:sz w:val="24"/>
                <w:u w:val="single"/>
              </w:rPr>
              <w:t xml:space="preserve">  </w:t>
            </w:r>
            <w:r>
              <w:rPr>
                <w:rFonts w:ascii="宋体" w:hAnsi="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rPr>
        <w:t xml:space="preserve">“</w:t>
      </w:r>
      <w:r>
        <w:rPr>
          <w:rFonts w:ascii="宋体" w:hAnsi="宋体" w:cs="宋体"/>
          <w:color w:val="000000"/>
          <w:sz w:val="24"/>
        </w:rPr>
        <w:t xml:space="preserve">投标分项报价表</w:t>
      </w:r>
      <w:r>
        <w:rPr>
          <w:rFonts w:ascii="宋体" w:hAnsi="宋体" w:cs="宋体"/>
          <w:color w:val="000000"/>
        </w:rPr>
        <w:t xml:space="preserve">”</w:t>
      </w:r>
      <w:r>
        <w:rPr>
          <w:rFonts w:ascii="宋体" w:hAnsi="宋体" w:cs="宋体"/>
          <w:color w:val="000000"/>
          <w:sz w:val="24"/>
        </w:rPr>
        <w:t xml:space="preserve">中“投标总报价”数额应当与“开标一览表”中“投标总报价”数额一致。</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3.投标人需认真填写本报价表，尤其注意规格型号的准确填写。</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4.项目经办人可以根据项目实际需要对表格结构进行调整。</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p>
      <w:pPr>
        <w:pBdr>
          <w:top w:val="none" w:color="000000" w:sz="0" w:space="0"/>
          <w:left w:val="none" w:color="000000" w:sz="0" w:space="0"/>
          <w:bottom w:val="none" w:color="000000" w:sz="0" w:space="0"/>
          <w:right w:val="none" w:color="000000" w:sz="0" w:space="0"/>
        </w:pBdr>
      </w:pPr>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58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0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p>
      <w:pPr>
        <w:pBdr>
          <w:top w:val="none" w:color="000000" w:sz="0" w:space="0"/>
          <w:left w:val="none" w:color="000000" w:sz="0" w:space="0"/>
          <w:bottom w:val="none" w:color="000000" w:sz="0" w:space="0"/>
          <w:right w:val="none" w:color="000000" w:sz="0" w:space="0"/>
        </w:pBdr>
      </w:pPr>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57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5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jc w:val="left"/>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w:t>
      </w:r>
      <w:r>
        <w:rPr>
          <w:rFonts w:hint="eastAsia" w:ascii="宋体" w:hAnsi="宋体" w:cs="宋体"/>
          <w:b/>
          <w:color w:val="000000"/>
          <w:sz w:val="24"/>
        </w:rPr>
        <w:t xml:space="preserve">      </w:t>
      </w:r>
      <w:r>
        <w:rPr>
          <w:rFonts w:ascii="宋体" w:hAnsi="宋体" w:cs="宋体"/>
          <w:b/>
          <w:color w:val="000000"/>
          <w:sz w:val="24"/>
        </w:rPr>
        <w:t xml:space="preserve">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被授权人身份证号码：</w:t>
      </w:r>
      <w:r>
        <w:rPr>
          <w:rFonts w:ascii="宋体" w:hAnsi="宋体" w:cs="宋体"/>
          <w:color w:val="000000"/>
          <w:sz w:val="24"/>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被授权人联系电话：（手机）</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被授权人电子邮箱：</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单位地址：</w:t>
      </w:r>
      <w:r>
        <w:rPr>
          <w:rFonts w:ascii="宋体" w:hAnsi="宋体" w:cs="宋体"/>
          <w:color w:val="000000"/>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rPr>
          <w:rFonts w:ascii="宋体" w:hAnsi="宋体" w:cs="宋体"/>
          <w:color w:val="000000"/>
          <w:sz w:val="24"/>
          <w:u w:val="single"/>
        </w:rPr>
        <w:t xml:space="preserve">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Style w:val="790"/>
        <w:rPr>
          <w:rFonts w:hAnsi="宋体"/>
          <w:b/>
        </w:rPr>
      </w:pPr>
      <w:r>
        <w:rPr>
          <w:rFonts w:hAnsi="宋体"/>
          <w:b/>
        </w:rPr>
      </w:r>
      <w:r/>
    </w:p>
    <w:p>
      <w:pPr>
        <w:rPr>
          <w:rFonts w:ascii="宋体" w:hAnsi="宋体" w:cs="宋体"/>
          <w:b/>
          <w:color w:val="000000"/>
          <w:sz w:val="24"/>
        </w:rPr>
      </w:pPr>
      <w:r>
        <w:rPr>
          <w:rFonts w:ascii="宋体" w:hAnsi="宋体" w:cs="宋体"/>
          <w:b/>
          <w:color w:val="000000"/>
          <w:sz w:val="24"/>
        </w:rPr>
      </w:r>
      <w:r/>
    </w:p>
    <w:p>
      <w:pPr>
        <w:pStyle w:val="790"/>
      </w:pPr>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w:t>
      </w:r>
      <w:r>
        <w:rPr>
          <w:rFonts w:ascii="仿宋" w:hAnsi="仿宋" w:eastAsia="仿宋" w:cs="仿宋"/>
          <w:b/>
          <w:color w:val="000000"/>
          <w:sz w:val="24"/>
        </w:rPr>
        <w:t xml:space="preserve">      </w:t>
      </w:r>
      <w:r>
        <w:rPr>
          <w:rFonts w:ascii="宋体" w:hAnsi="宋体" w:cs="宋体"/>
          <w:b/>
          <w:color w:val="000000"/>
          <w:sz w:val="24"/>
        </w:rPr>
        <w:t xml:space="preserve">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1"/>
        <w:gridCol w:w="25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0"/>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1200"/>
        <w:pBdr>
          <w:top w:val="none" w:color="000000" w:sz="0" w:space="0"/>
          <w:left w:val="none" w:color="000000" w:sz="0" w:space="0"/>
          <w:bottom w:val="none" w:color="000000" w:sz="0" w:space="0"/>
          <w:right w:val="none" w:color="000000" w:sz="0" w:space="0"/>
        </w:pBdr>
      </w:pPr>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rPr>
          <w:rFonts w:ascii="仿宋" w:hAnsi="仿宋" w:eastAsia="仿宋" w:cs="仿宋"/>
          <w:color w:val="000000"/>
          <w:sz w:val="24"/>
        </w:rPr>
        <w:t xml:space="preserve">                        </w:t>
      </w:r>
      <w:r/>
    </w:p>
    <w:p>
      <w:pPr>
        <w:ind w:left="48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b/>
          <w:color w:val="ff0000"/>
          <w:sz w:val="24"/>
        </w:rPr>
        <w:t xml:space="preserve"> </w:t>
      </w:r>
      <w:r/>
    </w:p>
    <w:p>
      <w:pPr>
        <w:ind w:firstLine="240"/>
        <w:spacing w:line="55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中小企业声明函（货物类项目）（采购包号：**）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cs="宋体"/>
          <w:color w:val="000000"/>
          <w:sz w:val="24"/>
          <w:u w:val="single"/>
        </w:rPr>
        <w:t xml:space="preserve">（项目名称），（项目编号）</w:t>
      </w:r>
      <w:r>
        <w:rPr>
          <w:rFonts w:ascii="宋体" w:hAnsi="宋体" w:cs="宋体"/>
          <w:color w:val="000000"/>
          <w:sz w:val="24"/>
        </w:rPr>
        <w:t xml:space="preserve">的采购活动，提供的货物全部由符合政策要求的中小企业制造。相关企业（含联合体中的中小企业、签订分包意向协议的中小企业）的具体情况如下：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 </w:t>
      </w:r>
      <w:r>
        <w:rPr>
          <w:rFonts w:ascii="宋体" w:hAnsi="宋体" w:cs="宋体"/>
          <w:color w:val="000000"/>
          <w:sz w:val="24"/>
          <w:u w:val="single"/>
        </w:rPr>
        <w:t xml:space="preserve">（标的名称） </w:t>
      </w:r>
      <w:r>
        <w:rPr>
          <w:rFonts w:ascii="宋体" w:hAnsi="宋体" w:cs="宋体"/>
          <w:color w:val="000000"/>
          <w:sz w:val="24"/>
        </w:rPr>
        <w:t xml:space="preserve">，属于</w:t>
      </w:r>
      <w:r>
        <w:rPr>
          <w:rFonts w:ascii="宋体" w:hAnsi="宋体" w:cs="宋体"/>
          <w:color w:val="000000"/>
          <w:sz w:val="24"/>
          <w:u w:val="single"/>
        </w:rPr>
        <w:t xml:space="preserve">（</w:t>
      </w:r>
      <w:r>
        <w:rPr>
          <w:rFonts w:hint="eastAsia" w:ascii="宋体" w:hAnsi="宋体" w:cs="宋体"/>
          <w:color w:val="ff0000"/>
          <w:sz w:val="24"/>
          <w:u w:val="single"/>
        </w:rPr>
        <w:t xml:space="preserve">工业</w:t>
      </w:r>
      <w:r>
        <w:rPr>
          <w:rFonts w:ascii="宋体" w:hAnsi="宋体" w:cs="宋体"/>
          <w:color w:val="000000"/>
          <w:sz w:val="24"/>
          <w:u w:val="single"/>
        </w:rPr>
        <w:t xml:space="preserve">）</w:t>
      </w:r>
      <w:r>
        <w:rPr>
          <w:rFonts w:ascii="宋体" w:hAnsi="宋体" w:cs="宋体"/>
          <w:color w:val="000000"/>
          <w:sz w:val="24"/>
        </w:rPr>
        <w:t xml:space="preserve">行业；</w:t>
      </w:r>
      <w:r>
        <w:rPr>
          <w:rFonts w:ascii="宋体" w:hAnsi="宋体" w:cs="宋体"/>
          <w:color w:val="ff0000"/>
          <w:sz w:val="24"/>
        </w:rPr>
        <w:t xml:space="preserve">制造商</w:t>
      </w:r>
      <w:r>
        <w:rPr>
          <w:rFonts w:ascii="宋体" w:hAnsi="宋体" w:cs="宋体"/>
          <w:color w:val="000000"/>
          <w:sz w:val="24"/>
        </w:rPr>
        <w:t xml:space="preserve">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 </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w:t>
      </w:r>
      <w:r>
        <w:rPr>
          <w:rFonts w:ascii="宋体" w:hAnsi="宋体" w:cs="宋体"/>
          <w:color w:val="000000"/>
          <w:sz w:val="24"/>
          <w:u w:val="single"/>
        </w:rPr>
        <w:t xml:space="preserve">（标的名称） </w:t>
      </w:r>
      <w:r>
        <w:rPr>
          <w:rFonts w:ascii="宋体" w:hAnsi="宋体" w:cs="宋体"/>
          <w:color w:val="000000"/>
          <w:sz w:val="24"/>
        </w:rPr>
        <w:t xml:space="preserve">，属于</w:t>
      </w:r>
      <w:r>
        <w:rPr>
          <w:rFonts w:ascii="宋体" w:hAnsi="宋体" w:cs="宋体"/>
          <w:color w:val="000000"/>
          <w:sz w:val="24"/>
          <w:u w:val="single"/>
        </w:rPr>
        <w:t xml:space="preserve">（</w:t>
      </w:r>
      <w:r>
        <w:rPr>
          <w:rFonts w:hint="eastAsia" w:ascii="宋体" w:hAnsi="宋体" w:cs="宋体"/>
          <w:color w:val="ff0000"/>
          <w:sz w:val="24"/>
          <w:u w:val="single"/>
        </w:rPr>
        <w:t xml:space="preserve">工业</w:t>
      </w:r>
      <w:r>
        <w:rPr>
          <w:rFonts w:ascii="宋体" w:hAnsi="宋体" w:cs="宋体"/>
          <w:color w:val="000000"/>
          <w:sz w:val="24"/>
          <w:u w:val="single"/>
        </w:rPr>
        <w:t xml:space="preserve">）</w:t>
      </w:r>
      <w:r>
        <w:rPr>
          <w:rFonts w:ascii="宋体" w:hAnsi="宋体" w:cs="宋体"/>
          <w:color w:val="000000"/>
          <w:sz w:val="24"/>
        </w:rPr>
        <w:t xml:space="preserve">行业；</w:t>
      </w:r>
      <w:r>
        <w:rPr>
          <w:rFonts w:ascii="宋体" w:hAnsi="宋体" w:cs="宋体"/>
          <w:color w:val="ff0000"/>
          <w:sz w:val="24"/>
        </w:rPr>
        <w:t xml:space="preserve">制造商</w:t>
      </w:r>
      <w:r>
        <w:rPr>
          <w:rFonts w:ascii="宋体" w:hAnsi="宋体" w:cs="宋体"/>
          <w:color w:val="000000"/>
          <w:sz w:val="24"/>
        </w:rPr>
        <w:t xml:space="preserve">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 </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 </w:t>
      </w:r>
      <w:r/>
    </w:p>
    <w:p>
      <w:pPr>
        <w:ind w:firstLine="40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0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firstLine="48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3.供应商应对照《工业和信息化部、国家统计局、国家发展和改革委员会、</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残疾人福利性单位声明函（货物类项目）（采购包号：**）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s="宋体"/>
          <w:color w:val="000000"/>
          <w:sz w:val="24"/>
          <w:u w:val="single"/>
        </w:rPr>
        <w:t xml:space="preserve">****</w:t>
      </w:r>
      <w:r>
        <w:rPr>
          <w:rFonts w:ascii="宋体" w:hAnsi="宋体" w:cs="宋体"/>
          <w:color w:val="000000"/>
          <w:sz w:val="24"/>
        </w:rPr>
        <w:t xml:space="preserve">的</w:t>
      </w:r>
      <w:r>
        <w:rPr>
          <w:rFonts w:ascii="宋体" w:hAnsi="宋体" w:cs="宋体"/>
          <w:color w:val="000000"/>
          <w:sz w:val="24"/>
          <w:u w:val="single"/>
        </w:rPr>
        <w:t xml:space="preserve">       </w:t>
      </w:r>
      <w:r>
        <w:rPr>
          <w:rFonts w:ascii="宋体" w:hAnsi="宋体" w:cs="宋体"/>
          <w:color w:val="000000"/>
          <w:sz w:val="24"/>
        </w:rPr>
        <w:t xml:space="preserve">项目（采购包号：**）采购活动提供本单位制造的货物，或者提供其他残疾人福利性单位制造的货物（不包括使用非残疾人福利性单位注册商标的货物）。</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非专门面向中小企业采购的项目，供应商如不提供此声明函，价格将不做相应扣除。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ind w:firstLine="624"/>
        <w:spacing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right="1559" w:firstLine="624"/>
        <w:jc w:val="center"/>
        <w:spacing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ind w:right="1559" w:firstLine="48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41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1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
    </w:p>
    <w:sectPr>
      <w:headerReference w:type="default" r:id="rId9"/>
      <w:footerReference w:type="defaul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rPr>
                              <w:color w:val="000000"/>
                            </w:rP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rPr>
                        <w:color w:val="000000"/>
                      </w:rP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rPr>
                              <w:color w:val="000000"/>
                            </w:rP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rPr>
                        <w:color w:val="000000"/>
                      </w:rPr>
                      <w:t xml:space="preserve">18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4"/>
                          </w:pPr>
                          <w:r>
                            <w:fldChar w:fldCharType="begin"/>
                          </w:r>
                          <w:r>
                            <w:instrText xml:space="preserve"> PAGE  \* MERGEFORMAT </w:instrText>
                          </w:r>
                          <w:r>
                            <w:fldChar w:fldCharType="separate"/>
                          </w:r>
                          <w:r>
                            <w:rPr>
                              <w:color w:val="000000"/>
                            </w:rPr>
                            <w:t xml:space="preserve">47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4"/>
                    </w:pPr>
                    <w:r>
                      <w:fldChar w:fldCharType="begin"/>
                    </w:r>
                    <w:r>
                      <w:instrText xml:space="preserve"> PAGE  \* MERGEFORMAT </w:instrText>
                    </w:r>
                    <w:r>
                      <w:fldChar w:fldCharType="separate"/>
                    </w:r>
                    <w:r>
                      <w:rPr>
                        <w:color w:val="000000"/>
                      </w:rPr>
                      <w:t xml:space="preserve">47</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2"/>
      <w:isLgl w:val="false"/>
      <w:suff w:val="nothing"/>
      <w:lvlText w:val=""/>
      <w:lvlJc w:val="left"/>
      <w:pPr>
        <w:ind w:left="0" w:firstLine="0"/>
      </w:pPr>
      <w:rPr>
        <w:rFonts w:hint="eastAsia"/>
      </w:rPr>
    </w:lvl>
    <w:lvl w:ilvl="6">
      <w:start w:val="1"/>
      <w:numFmt w:val="decimal"/>
      <w:pStyle w:val="983"/>
      <w:isLgl w:val="false"/>
      <w:suff w:val="nothing"/>
      <w:lvlText w:val=""/>
      <w:lvlJc w:val="left"/>
      <w:pPr>
        <w:ind w:left="0" w:firstLine="0"/>
      </w:pPr>
      <w:rPr>
        <w:rFonts w:hint="eastAsia"/>
      </w:rPr>
    </w:lvl>
    <w:lvl w:ilvl="7">
      <w:start w:val="1"/>
      <w:numFmt w:val="decimal"/>
      <w:pStyle w:val="984"/>
      <w:isLgl w:val="false"/>
      <w:suff w:val="nothing"/>
      <w:lvlText w:val=""/>
      <w:lvlJc w:val="left"/>
      <w:pPr>
        <w:ind w:left="0" w:firstLine="0"/>
      </w:pPr>
      <w:rPr>
        <w:rFonts w:hint="eastAsia"/>
      </w:rPr>
    </w:lvl>
    <w:lvl w:ilvl="8">
      <w:start w:val="1"/>
      <w:numFmt w:val="decimal"/>
      <w:pStyle w:val="985"/>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76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11"/>
  </w:num>
  <w:num w:numId="4">
    <w:abstractNumId w:val="1"/>
  </w:num>
  <w:num w:numId="5">
    <w:abstractNumId w:val="0"/>
  </w:num>
  <w:num w:numId="6">
    <w:abstractNumId w:val="10"/>
  </w:num>
  <w:num w:numId="7">
    <w:abstractNumId w:val="12"/>
  </w:num>
  <w:num w:numId="8">
    <w:abstractNumId w:val="4"/>
  </w:num>
  <w:num w:numId="9">
    <w:abstractNumId w:val="8"/>
  </w:num>
  <w:num w:numId="10">
    <w:abstractNumId w:val="6"/>
  </w:num>
  <w:num w:numId="11">
    <w:abstractNumId w:val="5"/>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1440"/>
    <m:rMargin m:val="144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5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51">
    <w:name w:val="Heading 1"/>
    <w:basedOn w:val="750"/>
    <w:link w:val="828"/>
    <w:uiPriority w:val="9"/>
    <w:qFormat/>
    <w:pPr>
      <w:keepLines/>
      <w:keepNext/>
      <w:spacing w:before="480" w:after="200"/>
      <w:outlineLvl w:val="0"/>
    </w:pPr>
    <w:rPr>
      <w:rFonts w:ascii="Arial" w:hAnsi="Arial" w:eastAsia="黑体" w:cs="Arial"/>
      <w:sz w:val="44"/>
      <w:szCs w:val="40"/>
    </w:rPr>
  </w:style>
  <w:style w:type="paragraph" w:styleId="752">
    <w:name w:val="Heading 2"/>
    <w:basedOn w:val="750"/>
    <w:link w:val="829"/>
    <w:uiPriority w:val="9"/>
    <w:unhideWhenUsed/>
    <w:qFormat/>
    <w:pPr>
      <w:keepLines/>
      <w:keepNext/>
      <w:spacing w:before="360" w:after="200"/>
      <w:outlineLvl w:val="1"/>
    </w:pPr>
    <w:rPr>
      <w:rFonts w:ascii="Arial" w:hAnsi="Arial" w:eastAsia="Arial" w:cs="Arial"/>
      <w:sz w:val="34"/>
    </w:rPr>
  </w:style>
  <w:style w:type="paragraph" w:styleId="753">
    <w:name w:val="Heading 3"/>
    <w:basedOn w:val="750"/>
    <w:link w:val="830"/>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link w:val="831"/>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link w:val="832"/>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link w:val="833"/>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link w:val="835"/>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link w:val="836"/>
    <w:uiPriority w:val="9"/>
    <w:unhideWhenUsed/>
    <w:qFormat/>
    <w:pPr>
      <w:keepLines/>
      <w:keepNext/>
      <w:spacing w:before="320" w:after="200"/>
      <w:outlineLvl w:val="8"/>
    </w:pPr>
    <w:rPr>
      <w:rFonts w:ascii="Arial" w:hAnsi="Arial" w:eastAsia="Arial" w:cs="Arial"/>
      <w:i/>
      <w:iCs/>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basedOn w:val="750"/>
    <w:uiPriority w:val="39"/>
    <w:unhideWhenUsed/>
    <w:qFormat/>
    <w:pPr>
      <w:ind w:left="1701"/>
      <w:spacing w:after="57"/>
    </w:pPr>
  </w:style>
  <w:style w:type="paragraph" w:styleId="763">
    <w:name w:val="Normal Indent"/>
    <w:basedOn w:val="750"/>
    <w:uiPriority w:val="0"/>
    <w:unhideWhenUsed/>
    <w:qFormat/>
    <w:pPr>
      <w:ind w:firstLine="420"/>
    </w:pPr>
  </w:style>
  <w:style w:type="paragraph" w:styleId="764">
    <w:name w:val="Caption"/>
    <w:basedOn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Body Text"/>
    <w:basedOn w:val="750"/>
    <w:uiPriority w:val="0"/>
    <w:qFormat/>
    <w:rPr>
      <w:rFonts w:ascii="楷体_GB2312" w:hAnsi="Arial" w:eastAsia="楷体_GB2312"/>
      <w:sz w:val="28"/>
      <w:szCs w:val="28"/>
    </w:rPr>
  </w:style>
  <w:style w:type="paragraph" w:styleId="766">
    <w:name w:val="Body Text Indent"/>
    <w:basedOn w:val="750"/>
    <w:uiPriority w:val="0"/>
    <w:unhideWhenUsed/>
    <w:qFormat/>
    <w:pPr>
      <w:ind w:left="420"/>
      <w:spacing w:after="120"/>
    </w:pPr>
  </w:style>
  <w:style w:type="paragraph" w:styleId="767">
    <w:name w:val="List Bullet 2"/>
    <w:basedOn w:val="750"/>
    <w:uiPriority w:val="99"/>
    <w:semiHidden/>
    <w:unhideWhenUsed/>
    <w:qFormat/>
    <w:pPr>
      <w:numPr>
        <w:ilvl w:val="0"/>
        <w:numId w:val="1"/>
      </w:numPr>
    </w:pPr>
  </w:style>
  <w:style w:type="paragraph" w:styleId="768">
    <w:name w:val="index 4"/>
    <w:basedOn w:val="750"/>
    <w:uiPriority w:val="0"/>
    <w:qFormat/>
    <w:pPr>
      <w:ind w:left="600" w:firstLine="200"/>
      <w:spacing w:line="360" w:lineRule="auto"/>
    </w:pPr>
    <w:rPr>
      <w:rFonts w:ascii="等线" w:hAnsi="等线" w:eastAsia="等线"/>
      <w:sz w:val="24"/>
      <w:szCs w:val="24"/>
    </w:rPr>
  </w:style>
  <w:style w:type="paragraph" w:styleId="769">
    <w:name w:val="toc 5"/>
    <w:basedOn w:val="750"/>
    <w:uiPriority w:val="39"/>
    <w:unhideWhenUsed/>
    <w:qFormat/>
    <w:pPr>
      <w:ind w:left="1134"/>
      <w:spacing w:after="57"/>
    </w:pPr>
  </w:style>
  <w:style w:type="paragraph" w:styleId="770">
    <w:name w:val="toc 3"/>
    <w:basedOn w:val="750"/>
    <w:uiPriority w:val="39"/>
    <w:unhideWhenUsed/>
    <w:qFormat/>
    <w:pPr>
      <w:ind w:left="567"/>
      <w:spacing w:after="57"/>
    </w:pPr>
  </w:style>
  <w:style w:type="paragraph" w:styleId="771">
    <w:name w:val="Plain Text"/>
    <w:basedOn w:val="750"/>
    <w:uiPriority w:val="0"/>
    <w:qFormat/>
    <w:rPr>
      <w:rFonts w:ascii="宋体" w:hAnsi="Courier New" w:cs="Courier New"/>
    </w:rPr>
  </w:style>
  <w:style w:type="paragraph" w:styleId="772">
    <w:name w:val="toc 8"/>
    <w:basedOn w:val="750"/>
    <w:uiPriority w:val="39"/>
    <w:unhideWhenUsed/>
    <w:qFormat/>
    <w:pPr>
      <w:ind w:left="1984"/>
      <w:spacing w:after="57"/>
    </w:pPr>
  </w:style>
  <w:style w:type="paragraph" w:styleId="773">
    <w:name w:val="endnote text"/>
    <w:basedOn w:val="750"/>
    <w:link w:val="974"/>
    <w:uiPriority w:val="99"/>
    <w:semiHidden/>
    <w:unhideWhenUsed/>
    <w:qFormat/>
    <w:rPr>
      <w:sz w:val="20"/>
    </w:rPr>
  </w:style>
  <w:style w:type="paragraph" w:styleId="774">
    <w:name w:val="Footer"/>
    <w:basedOn w:val="750"/>
    <w:link w:val="847"/>
    <w:uiPriority w:val="99"/>
    <w:unhideWhenUsed/>
    <w:qFormat/>
    <w:pPr>
      <w:tabs>
        <w:tab w:val="center" w:pos="7143" w:leader="none"/>
        <w:tab w:val="right" w:pos="14287" w:leader="none"/>
      </w:tabs>
    </w:pPr>
  </w:style>
  <w:style w:type="paragraph" w:styleId="775">
    <w:name w:val="Header"/>
    <w:basedOn w:val="750"/>
    <w:link w:val="845"/>
    <w:uiPriority w:val="99"/>
    <w:unhideWhenUsed/>
    <w:qFormat/>
    <w:pPr>
      <w:tabs>
        <w:tab w:val="center" w:pos="7143" w:leader="none"/>
        <w:tab w:val="right" w:pos="14287" w:leader="none"/>
      </w:tabs>
    </w:pPr>
  </w:style>
  <w:style w:type="paragraph" w:styleId="776">
    <w:name w:val="toc 1"/>
    <w:basedOn w:val="750"/>
    <w:uiPriority w:val="39"/>
    <w:unhideWhenUsed/>
    <w:qFormat/>
    <w:pPr>
      <w:spacing w:after="57"/>
    </w:pPr>
  </w:style>
  <w:style w:type="paragraph" w:styleId="777">
    <w:name w:val="toc 4"/>
    <w:basedOn w:val="750"/>
    <w:uiPriority w:val="39"/>
    <w:unhideWhenUsed/>
    <w:qFormat/>
    <w:pPr>
      <w:ind w:left="850"/>
      <w:spacing w:after="57"/>
    </w:pPr>
  </w:style>
  <w:style w:type="paragraph" w:styleId="778">
    <w:name w:val="Subtitle"/>
    <w:basedOn w:val="750"/>
    <w:link w:val="840"/>
    <w:uiPriority w:val="11"/>
    <w:qFormat/>
    <w:pPr>
      <w:spacing w:before="200" w:after="200"/>
    </w:pPr>
    <w:rPr>
      <w:sz w:val="24"/>
      <w:szCs w:val="24"/>
    </w:rPr>
  </w:style>
  <w:style w:type="paragraph" w:styleId="779">
    <w:name w:val="footnote text"/>
    <w:basedOn w:val="750"/>
    <w:link w:val="973"/>
    <w:uiPriority w:val="99"/>
    <w:semiHidden/>
    <w:unhideWhenUsed/>
    <w:qFormat/>
    <w:pPr>
      <w:spacing w:after="40"/>
    </w:pPr>
    <w:rPr>
      <w:sz w:val="18"/>
    </w:rPr>
  </w:style>
  <w:style w:type="paragraph" w:styleId="780">
    <w:name w:val="toc 6"/>
    <w:basedOn w:val="750"/>
    <w:uiPriority w:val="39"/>
    <w:unhideWhenUsed/>
    <w:qFormat/>
    <w:pPr>
      <w:ind w:left="1417"/>
      <w:spacing w:after="57"/>
    </w:pPr>
  </w:style>
  <w:style w:type="paragraph" w:styleId="781">
    <w:name w:val="table of figures"/>
    <w:basedOn w:val="750"/>
    <w:uiPriority w:val="99"/>
    <w:unhideWhenUsed/>
    <w:qFormat/>
  </w:style>
  <w:style w:type="paragraph" w:styleId="782">
    <w:name w:val="toc 2"/>
    <w:basedOn w:val="750"/>
    <w:uiPriority w:val="39"/>
    <w:unhideWhenUsed/>
    <w:qFormat/>
    <w:pPr>
      <w:ind w:left="283"/>
      <w:spacing w:after="57"/>
    </w:pPr>
  </w:style>
  <w:style w:type="paragraph" w:styleId="783">
    <w:name w:val="toc 9"/>
    <w:basedOn w:val="750"/>
    <w:uiPriority w:val="39"/>
    <w:unhideWhenUsed/>
    <w:qFormat/>
    <w:pPr>
      <w:ind w:left="2268"/>
      <w:spacing w:after="57"/>
    </w:pPr>
  </w:style>
  <w:style w:type="paragraph" w:styleId="784">
    <w:name w:val="Normal (Web)"/>
    <w:basedOn w:val="750"/>
    <w:uiPriority w:val="0"/>
    <w:qFormat/>
    <w:rPr>
      <w:sz w:val="24"/>
    </w:rPr>
  </w:style>
  <w:style w:type="paragraph" w:styleId="785">
    <w:name w:val="Title"/>
    <w:basedOn w:val="750"/>
    <w:link w:val="839"/>
    <w:uiPriority w:val="10"/>
    <w:qFormat/>
    <w:pPr>
      <w:contextualSpacing/>
      <w:spacing w:before="300" w:after="200"/>
    </w:pPr>
    <w:rPr>
      <w:sz w:val="48"/>
      <w:szCs w:val="48"/>
    </w:r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footnote reference"/>
    <w:uiPriority w:val="99"/>
    <w:unhideWhenUsed/>
    <w:qFormat/>
    <w:rPr>
      <w:vertAlign w:val="superscript"/>
    </w:rPr>
  </w:style>
  <w:style w:type="paragraph" w:styleId="790"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791" w:customStyle="1">
    <w:name w:val="Heading 1 Char"/>
    <w:basedOn w:val="760"/>
    <w:uiPriority w:val="9"/>
    <w:qFormat/>
    <w:rPr>
      <w:rFonts w:ascii="Arial" w:hAnsi="Arial" w:eastAsia="Arial" w:cs="Arial"/>
      <w:sz w:val="40"/>
      <w:szCs w:val="40"/>
    </w:rPr>
  </w:style>
  <w:style w:type="character" w:styleId="792" w:customStyle="1">
    <w:name w:val="Heading 2 Char"/>
    <w:basedOn w:val="760"/>
    <w:uiPriority w:val="9"/>
    <w:qFormat/>
    <w:rPr>
      <w:rFonts w:ascii="Arial" w:hAnsi="Arial" w:eastAsia="Arial" w:cs="Arial"/>
      <w:sz w:val="34"/>
    </w:rPr>
  </w:style>
  <w:style w:type="character" w:styleId="793" w:customStyle="1">
    <w:name w:val="Heading 3 Char"/>
    <w:basedOn w:val="760"/>
    <w:uiPriority w:val="9"/>
    <w:qFormat/>
    <w:rPr>
      <w:rFonts w:ascii="Arial" w:hAnsi="Arial" w:eastAsia="Arial" w:cs="Arial"/>
      <w:sz w:val="30"/>
      <w:szCs w:val="30"/>
    </w:rPr>
  </w:style>
  <w:style w:type="character" w:styleId="794" w:customStyle="1">
    <w:name w:val="Heading 4 Char"/>
    <w:basedOn w:val="760"/>
    <w:uiPriority w:val="9"/>
    <w:qFormat/>
    <w:rPr>
      <w:rFonts w:ascii="Arial" w:hAnsi="Arial" w:eastAsia="Arial" w:cs="Arial"/>
      <w:b/>
      <w:bCs/>
      <w:sz w:val="26"/>
      <w:szCs w:val="26"/>
    </w:rPr>
  </w:style>
  <w:style w:type="character" w:styleId="795" w:customStyle="1">
    <w:name w:val="Heading 5 Char"/>
    <w:basedOn w:val="760"/>
    <w:uiPriority w:val="9"/>
    <w:qFormat/>
    <w:rPr>
      <w:rFonts w:ascii="Arial" w:hAnsi="Arial" w:eastAsia="Arial" w:cs="Arial"/>
      <w:b/>
      <w:bCs/>
      <w:sz w:val="24"/>
      <w:szCs w:val="24"/>
    </w:rPr>
  </w:style>
  <w:style w:type="character" w:styleId="796" w:customStyle="1">
    <w:name w:val="Heading 6 Char"/>
    <w:basedOn w:val="760"/>
    <w:uiPriority w:val="9"/>
    <w:qFormat/>
    <w:rPr>
      <w:rFonts w:ascii="Arial" w:hAnsi="Arial" w:eastAsia="Arial" w:cs="Arial"/>
      <w:b/>
      <w:bCs/>
      <w:sz w:val="22"/>
      <w:szCs w:val="22"/>
    </w:rPr>
  </w:style>
  <w:style w:type="character" w:styleId="797" w:customStyle="1">
    <w:name w:val="Heading 7 Char"/>
    <w:basedOn w:val="760"/>
    <w:uiPriority w:val="9"/>
    <w:qFormat/>
    <w:rPr>
      <w:rFonts w:ascii="Arial" w:hAnsi="Arial" w:eastAsia="Arial" w:cs="Arial"/>
      <w:b/>
      <w:bCs/>
      <w:i/>
      <w:iCs/>
      <w:sz w:val="22"/>
      <w:szCs w:val="22"/>
    </w:rPr>
  </w:style>
  <w:style w:type="character" w:styleId="798" w:customStyle="1">
    <w:name w:val="Heading 8 Char"/>
    <w:basedOn w:val="760"/>
    <w:uiPriority w:val="9"/>
    <w:qFormat/>
    <w:rPr>
      <w:rFonts w:ascii="Arial" w:hAnsi="Arial" w:eastAsia="Arial" w:cs="Arial"/>
      <w:i/>
      <w:iCs/>
      <w:sz w:val="22"/>
      <w:szCs w:val="22"/>
    </w:rPr>
  </w:style>
  <w:style w:type="character" w:styleId="799" w:customStyle="1">
    <w:name w:val="Heading 9 Char"/>
    <w:basedOn w:val="760"/>
    <w:uiPriority w:val="9"/>
    <w:qFormat/>
    <w:rPr>
      <w:rFonts w:ascii="Arial" w:hAnsi="Arial" w:eastAsia="Arial" w:cs="Arial"/>
      <w:i/>
      <w:iCs/>
      <w:sz w:val="21"/>
      <w:szCs w:val="21"/>
    </w:rPr>
  </w:style>
  <w:style w:type="character" w:styleId="800" w:customStyle="1">
    <w:name w:val="Title Char"/>
    <w:basedOn w:val="760"/>
    <w:uiPriority w:val="10"/>
    <w:qFormat/>
    <w:rPr>
      <w:sz w:val="48"/>
      <w:szCs w:val="48"/>
    </w:rPr>
  </w:style>
  <w:style w:type="character" w:styleId="801" w:customStyle="1">
    <w:name w:val="Subtitle Char"/>
    <w:basedOn w:val="760"/>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Header Char"/>
    <w:basedOn w:val="760"/>
    <w:uiPriority w:val="99"/>
    <w:qFormat/>
  </w:style>
  <w:style w:type="character" w:styleId="805" w:customStyle="1">
    <w:name w:val="Caption Char"/>
    <w:uiPriority w:val="99"/>
    <w:qFormat/>
  </w:style>
  <w:style w:type="table" w:styleId="806"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清单表 1 浅色1"/>
    <w:basedOn w:val="76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清单表 6 彩色1"/>
    <w:basedOn w:val="76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清单表 7 彩色1"/>
    <w:basedOn w:val="76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标题1"/>
    <w:uiPriority w:val="39"/>
    <w:unhideWhenUsed/>
    <w:qFormat/>
    <w:rPr>
      <w:rFonts w:ascii="Times New Roman" w:hAnsi="Times New Roman" w:eastAsia="宋体" w:cs="Times New Roman"/>
      <w:lang w:val="en-US" w:eastAsia="zh-CN" w:bidi="ar-SA"/>
    </w:rPr>
  </w:style>
  <w:style w:type="character" w:styleId="828" w:customStyle="1">
    <w:name w:val="标题 1 Char1"/>
    <w:link w:val="751"/>
    <w:uiPriority w:val="9"/>
    <w:qFormat/>
    <w:rPr>
      <w:rFonts w:ascii="Arial" w:hAnsi="Arial" w:eastAsia="黑体" w:cs="Arial"/>
      <w:sz w:val="44"/>
      <w:szCs w:val="40"/>
    </w:rPr>
  </w:style>
  <w:style w:type="character" w:styleId="829" w:customStyle="1">
    <w:name w:val="标题 2 Char1"/>
    <w:link w:val="752"/>
    <w:uiPriority w:val="9"/>
    <w:qFormat/>
    <w:rPr>
      <w:rFonts w:ascii="Arial" w:hAnsi="Arial" w:eastAsia="Arial" w:cs="Arial"/>
      <w:sz w:val="34"/>
    </w:rPr>
  </w:style>
  <w:style w:type="character" w:styleId="830" w:customStyle="1">
    <w:name w:val="标题 3 Char1"/>
    <w:link w:val="753"/>
    <w:uiPriority w:val="9"/>
    <w:qFormat/>
    <w:rPr>
      <w:rFonts w:ascii="Arial" w:hAnsi="Arial" w:eastAsia="Arial" w:cs="Arial"/>
      <w:sz w:val="30"/>
      <w:szCs w:val="30"/>
    </w:rPr>
  </w:style>
  <w:style w:type="character" w:styleId="831" w:customStyle="1">
    <w:name w:val="标题 4 Char1"/>
    <w:link w:val="754"/>
    <w:uiPriority w:val="9"/>
    <w:qFormat/>
    <w:rPr>
      <w:rFonts w:ascii="Arial" w:hAnsi="Arial" w:eastAsia="Arial" w:cs="Arial"/>
      <w:b/>
      <w:bCs/>
      <w:sz w:val="26"/>
      <w:szCs w:val="26"/>
    </w:rPr>
  </w:style>
  <w:style w:type="character" w:styleId="832" w:customStyle="1">
    <w:name w:val="标题 5 Char1"/>
    <w:link w:val="755"/>
    <w:uiPriority w:val="9"/>
    <w:qFormat/>
    <w:rPr>
      <w:rFonts w:ascii="Arial" w:hAnsi="Arial" w:eastAsia="Arial" w:cs="Arial"/>
      <w:b/>
      <w:bCs/>
      <w:sz w:val="24"/>
      <w:szCs w:val="24"/>
    </w:rPr>
  </w:style>
  <w:style w:type="character" w:styleId="833" w:customStyle="1">
    <w:name w:val="标题 6 Char1"/>
    <w:link w:val="756"/>
    <w:uiPriority w:val="9"/>
    <w:qFormat/>
    <w:rPr>
      <w:rFonts w:ascii="Arial" w:hAnsi="Arial" w:eastAsia="Arial" w:cs="Arial"/>
      <w:b/>
      <w:bCs/>
      <w:sz w:val="22"/>
      <w:szCs w:val="22"/>
    </w:rPr>
  </w:style>
  <w:style w:type="character" w:styleId="834" w:customStyle="1">
    <w:name w:val="标题 7 Char1"/>
    <w:link w:val="757"/>
    <w:uiPriority w:val="9"/>
    <w:qFormat/>
    <w:rPr>
      <w:rFonts w:ascii="Arial" w:hAnsi="Arial" w:eastAsia="Arial" w:cs="Arial"/>
      <w:b/>
      <w:bCs/>
      <w:i/>
      <w:iCs/>
      <w:sz w:val="22"/>
      <w:szCs w:val="22"/>
    </w:rPr>
  </w:style>
  <w:style w:type="character" w:styleId="835" w:customStyle="1">
    <w:name w:val="标题 8 Char1"/>
    <w:link w:val="758"/>
    <w:uiPriority w:val="9"/>
    <w:qFormat/>
    <w:rPr>
      <w:rFonts w:ascii="Arial" w:hAnsi="Arial" w:eastAsia="Arial" w:cs="Arial"/>
      <w:i/>
      <w:iCs/>
      <w:sz w:val="22"/>
      <w:szCs w:val="22"/>
    </w:rPr>
  </w:style>
  <w:style w:type="character" w:styleId="836" w:customStyle="1">
    <w:name w:val="标题 9 Char1"/>
    <w:link w:val="759"/>
    <w:uiPriority w:val="9"/>
    <w:qFormat/>
    <w:rPr>
      <w:rFonts w:ascii="Arial" w:hAnsi="Arial" w:eastAsia="Arial" w:cs="Arial"/>
      <w:i/>
      <w:iCs/>
      <w:sz w:val="21"/>
      <w:szCs w:val="21"/>
    </w:rPr>
  </w:style>
  <w:style w:type="paragraph" w:styleId="837">
    <w:name w:val="List Paragraph"/>
    <w:basedOn w:val="750"/>
    <w:uiPriority w:val="34"/>
    <w:qFormat/>
    <w:pPr>
      <w:contextualSpacing/>
      <w:ind w:left="720"/>
    </w:pPr>
  </w:style>
  <w:style w:type="paragraph" w:styleId="838">
    <w:name w:val="No Spacing"/>
    <w:uiPriority w:val="1"/>
    <w:qFormat/>
    <w:rPr>
      <w:rFonts w:ascii="Calibri" w:hAnsi="Calibri" w:eastAsia="宋体" w:cs="Times New Roman"/>
      <w:lang w:val="en-US" w:eastAsia="zh-CN" w:bidi="ar-SA"/>
    </w:rPr>
  </w:style>
  <w:style w:type="character" w:styleId="839" w:customStyle="1">
    <w:name w:val="标题 Char"/>
    <w:link w:val="785"/>
    <w:uiPriority w:val="10"/>
    <w:qFormat/>
    <w:rPr>
      <w:sz w:val="48"/>
      <w:szCs w:val="48"/>
    </w:rPr>
  </w:style>
  <w:style w:type="character" w:styleId="840" w:customStyle="1">
    <w:name w:val="副标题 Char"/>
    <w:link w:val="778"/>
    <w:uiPriority w:val="11"/>
    <w:qFormat/>
    <w:rPr>
      <w:sz w:val="24"/>
      <w:szCs w:val="24"/>
    </w:rPr>
  </w:style>
  <w:style w:type="paragraph" w:styleId="841">
    <w:name w:val="Quote"/>
    <w:basedOn w:val="750"/>
    <w:link w:val="842"/>
    <w:uiPriority w:val="29"/>
    <w:qFormat/>
    <w:pPr>
      <w:ind w:left="720" w:right="720"/>
    </w:pPr>
    <w:rPr>
      <w:i/>
    </w:rPr>
  </w:style>
  <w:style w:type="character" w:styleId="842" w:customStyle="1">
    <w:name w:val="引用 Char"/>
    <w:link w:val="841"/>
    <w:uiPriority w:val="29"/>
    <w:qFormat/>
    <w:rPr>
      <w:i/>
    </w:rPr>
  </w:style>
  <w:style w:type="paragraph" w:styleId="843">
    <w:name w:val="Intense Quote"/>
    <w:basedOn w:val="750"/>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Char"/>
    <w:link w:val="843"/>
    <w:uiPriority w:val="30"/>
    <w:qFormat/>
    <w:rPr>
      <w:i/>
    </w:rPr>
  </w:style>
  <w:style w:type="character" w:styleId="845" w:customStyle="1">
    <w:name w:val="页眉 Char1"/>
    <w:link w:val="775"/>
    <w:uiPriority w:val="99"/>
    <w:qFormat/>
  </w:style>
  <w:style w:type="character" w:styleId="846" w:customStyle="1">
    <w:name w:val="Footer Char"/>
    <w:uiPriority w:val="99"/>
    <w:qFormat/>
  </w:style>
  <w:style w:type="character" w:styleId="847" w:customStyle="1">
    <w:name w:val="页脚 Char1"/>
    <w:link w:val="774"/>
    <w:uiPriority w:val="99"/>
    <w:qFormat/>
  </w:style>
  <w:style w:type="table" w:styleId="8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无格式表格 1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网格表 2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网格表 3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网格表 5 深色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网格表 6 彩色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网格表 7 彩色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3" w:customStyle="1">
    <w:name w:val="清单表 1 浅色1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清单表 2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清单表 3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清单表 4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清单表 5 深色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清单表 6 彩色1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5" w:customStyle="1">
    <w:name w:val="清单表 7 彩色1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脚注文本 Char"/>
    <w:link w:val="779"/>
    <w:uiPriority w:val="99"/>
    <w:qFormat/>
    <w:rPr>
      <w:sz w:val="18"/>
    </w:rPr>
  </w:style>
  <w:style w:type="character" w:styleId="974" w:customStyle="1">
    <w:name w:val="尾注文本 Char"/>
    <w:link w:val="773"/>
    <w:uiPriority w:val="99"/>
    <w:qFormat/>
    <w:rPr>
      <w:sz w:val="20"/>
    </w:rPr>
  </w:style>
  <w:style w:type="paragraph" w:styleId="975" w:customStyle="1">
    <w:name w:val="TOC 标题11"/>
    <w:uiPriority w:val="39"/>
    <w:unhideWhenUsed/>
    <w:qFormat/>
    <w:rPr>
      <w:rFonts w:ascii="Calibri" w:hAnsi="Calibri" w:eastAsia="宋体" w:cs="Times New Roman"/>
      <w:lang w:val="en-US" w:eastAsia="zh-CN" w:bidi="ar-SA"/>
    </w:rPr>
  </w:style>
  <w:style w:type="paragraph" w:styleId="976" w:customStyle="1">
    <w:name w:val="标题 11"/>
    <w:basedOn w:val="750"/>
    <w:link w:val="1029"/>
    <w:uiPriority w:val="0"/>
    <w:qFormat/>
    <w:pPr>
      <w:jc w:val="center"/>
      <w:keepNext/>
      <w:outlineLvl w:val="0"/>
    </w:pPr>
    <w:rPr>
      <w:rFonts w:ascii="楷体_GB2312" w:hAnsi="楷体_GB2312" w:eastAsia="黑体"/>
      <w:sz w:val="44"/>
      <w:szCs w:val="28"/>
    </w:rPr>
  </w:style>
  <w:style w:type="paragraph" w:styleId="977" w:customStyle="1">
    <w:name w:val="标题 21"/>
    <w:basedOn w:val="750"/>
    <w:link w:val="10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8" w:customStyle="1">
    <w:name w:val="标题 31"/>
    <w:basedOn w:val="750"/>
    <w:link w:val="1011"/>
    <w:uiPriority w:val="0"/>
    <w:qFormat/>
    <w:pPr>
      <w:keepLines/>
      <w:keepNext/>
      <w:spacing w:before="260" w:after="260" w:line="416" w:lineRule="auto"/>
      <w:outlineLvl w:val="2"/>
    </w:pPr>
    <w:rPr>
      <w:b/>
      <w:bCs/>
      <w:sz w:val="32"/>
      <w:szCs w:val="32"/>
    </w:rPr>
  </w:style>
  <w:style w:type="paragraph" w:styleId="979" w:customStyle="1">
    <w:name w:val="标题 41"/>
    <w:basedOn w:val="750"/>
    <w:link w:val="1002"/>
    <w:uiPriority w:val="0"/>
    <w:qFormat/>
    <w:pPr>
      <w:keepLines/>
      <w:keepNext/>
      <w:spacing w:before="280" w:after="290" w:line="376" w:lineRule="auto"/>
      <w:outlineLvl w:val="3"/>
    </w:pPr>
    <w:rPr>
      <w:rFonts w:ascii="Arial" w:hAnsi="Arial" w:eastAsia="黑体" w:cs="Arial"/>
      <w:b/>
      <w:bCs/>
      <w:sz w:val="28"/>
      <w:szCs w:val="28"/>
    </w:rPr>
  </w:style>
  <w:style w:type="paragraph" w:styleId="980" w:customStyle="1">
    <w:name w:val="正文缩进1"/>
    <w:basedOn w:val="750"/>
    <w:link w:val="1014"/>
    <w:uiPriority w:val="0"/>
    <w:qFormat/>
    <w:pPr>
      <w:ind w:firstLine="420"/>
    </w:pPr>
  </w:style>
  <w:style w:type="paragraph" w:styleId="981" w:customStyle="1">
    <w:name w:val="标题 51"/>
    <w:basedOn w:val="750"/>
    <w:link w:val="1021"/>
    <w:uiPriority w:val="0"/>
    <w:qFormat/>
    <w:pPr>
      <w:keepNext/>
      <w:outlineLvl w:val="4"/>
    </w:pPr>
    <w:rPr>
      <w:rFonts w:ascii="宋体"/>
      <w:color w:val="000000"/>
      <w:sz w:val="28"/>
      <w:szCs w:val="28"/>
    </w:rPr>
  </w:style>
  <w:style w:type="paragraph" w:styleId="982" w:customStyle="1">
    <w:name w:val="标题 61"/>
    <w:basedOn w:val="750"/>
    <w:link w:val="1000"/>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83" w:customStyle="1">
    <w:name w:val="标题 71"/>
    <w:basedOn w:val="750"/>
    <w:link w:val="995"/>
    <w:uiPriority w:val="0"/>
    <w:qFormat/>
    <w:pPr>
      <w:numPr>
        <w:ilvl w:val="6"/>
        <w:numId w:val="2"/>
      </w:numPr>
      <w:keepLines/>
      <w:keepNext/>
      <w:spacing w:before="240" w:after="64" w:line="320" w:lineRule="auto"/>
      <w:outlineLvl w:val="6"/>
    </w:pPr>
    <w:rPr>
      <w:b/>
      <w:bCs/>
      <w:sz w:val="24"/>
      <w:szCs w:val="24"/>
    </w:rPr>
  </w:style>
  <w:style w:type="paragraph" w:styleId="984" w:customStyle="1">
    <w:name w:val="标题 81"/>
    <w:basedOn w:val="750"/>
    <w:link w:val="994"/>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85" w:customStyle="1">
    <w:name w:val="标题 91"/>
    <w:basedOn w:val="750"/>
    <w:link w:val="1031"/>
    <w:uiPriority w:val="0"/>
    <w:qFormat/>
    <w:pPr>
      <w:numPr>
        <w:ilvl w:val="8"/>
        <w:numId w:val="2"/>
      </w:numPr>
      <w:keepLines/>
      <w:keepNext/>
      <w:spacing w:before="240" w:after="64" w:line="320" w:lineRule="auto"/>
      <w:outlineLvl w:val="8"/>
    </w:pPr>
    <w:rPr>
      <w:rFonts w:ascii="Arial" w:hAnsi="Arial" w:eastAsia="黑体"/>
    </w:rPr>
  </w:style>
  <w:style w:type="character" w:styleId="986" w:customStyle="1">
    <w:name w:val="默认段落字体1"/>
    <w:uiPriority w:val="1"/>
    <w:unhideWhenUsed/>
    <w:qFormat/>
  </w:style>
  <w:style w:type="table" w:styleId="987" w:customStyle="1">
    <w:name w:val="普通表格1"/>
    <w:uiPriority w:val="99"/>
    <w:unhideWhenUsed/>
    <w:qFormat/>
    <w:tblPr>
      <w:tblCellMar>
        <w:left w:w="0" w:type="dxa"/>
        <w:top w:w="0" w:type="dxa"/>
        <w:right w:w="0" w:type="dxa"/>
        <w:bottom w:w="0" w:type="dxa"/>
      </w:tblCellMar>
    </w:tblPr>
  </w:style>
  <w:style w:type="character" w:styleId="988" w:customStyle="1">
    <w:name w:val="批注框文本 Char"/>
    <w:link w:val="989"/>
    <w:uiPriority w:val="0"/>
    <w:semiHidden/>
    <w:qFormat/>
    <w:rPr>
      <w:rFonts w:ascii="Times New Roman" w:hAnsi="Times New Roman" w:eastAsia="宋体" w:cs="Times New Roman"/>
      <w:sz w:val="18"/>
      <w:szCs w:val="18"/>
    </w:rPr>
  </w:style>
  <w:style w:type="paragraph" w:styleId="989" w:customStyle="1">
    <w:name w:val="批注框文本1"/>
    <w:basedOn w:val="750"/>
    <w:link w:val="988"/>
    <w:uiPriority w:val="0"/>
    <w:semiHidden/>
    <w:qFormat/>
    <w:rPr>
      <w:sz w:val="18"/>
      <w:szCs w:val="18"/>
    </w:rPr>
  </w:style>
  <w:style w:type="character" w:styleId="990" w:customStyle="1">
    <w:name w:val="列出段落 Char"/>
    <w:link w:val="991"/>
    <w:uiPriority w:val="0"/>
    <w:qFormat/>
    <w:rPr>
      <w:rFonts w:ascii="Calibri" w:hAnsi="Calibri"/>
      <w:sz w:val="24"/>
      <w:szCs w:val="24"/>
      <w:lang w:eastAsia="en-US" w:bidi="en-US"/>
    </w:rPr>
  </w:style>
  <w:style w:type="paragraph" w:styleId="991" w:customStyle="1">
    <w:name w:val="列出段落1"/>
    <w:basedOn w:val="750"/>
    <w:link w:val="990"/>
    <w:uiPriority w:val="0"/>
    <w:qFormat/>
    <w:pPr>
      <w:contextualSpacing/>
      <w:ind w:left="720"/>
      <w:jc w:val="left"/>
      <w:widowControl/>
    </w:pPr>
    <w:rPr>
      <w:rFonts w:ascii="Calibri" w:hAnsi="Calibri"/>
      <w:sz w:val="24"/>
      <w:szCs w:val="24"/>
      <w:lang w:eastAsia="en-US" w:bidi="en-US"/>
    </w:rPr>
  </w:style>
  <w:style w:type="character" w:styleId="992" w:customStyle="1">
    <w:name w:val="正文文本 Char"/>
    <w:link w:val="993"/>
    <w:uiPriority w:val="0"/>
    <w:qFormat/>
    <w:rPr>
      <w:rFonts w:ascii="楷体_GB2312" w:hAnsi="Arial" w:eastAsia="楷体_GB2312" w:cs="Times New Roman"/>
      <w:sz w:val="28"/>
      <w:szCs w:val="28"/>
    </w:rPr>
  </w:style>
  <w:style w:type="paragraph" w:styleId="993" w:customStyle="1">
    <w:name w:val="正文文本1"/>
    <w:basedOn w:val="750"/>
    <w:link w:val="992"/>
    <w:uiPriority w:val="0"/>
    <w:qFormat/>
    <w:rPr>
      <w:rFonts w:ascii="楷体_GB2312" w:hAnsi="Arial" w:eastAsia="楷体_GB2312"/>
      <w:sz w:val="28"/>
      <w:szCs w:val="28"/>
    </w:rPr>
  </w:style>
  <w:style w:type="character" w:styleId="994" w:customStyle="1">
    <w:name w:val="标题 8 Char"/>
    <w:link w:val="984"/>
    <w:uiPriority w:val="0"/>
    <w:qFormat/>
    <w:rPr>
      <w:rFonts w:ascii="Arial" w:hAnsi="Arial" w:eastAsia="黑体" w:cs="Times New Roman"/>
      <w:sz w:val="24"/>
      <w:szCs w:val="24"/>
    </w:rPr>
  </w:style>
  <w:style w:type="character" w:styleId="995" w:customStyle="1">
    <w:name w:val="标题 7 Char"/>
    <w:link w:val="983"/>
    <w:uiPriority w:val="0"/>
    <w:qFormat/>
    <w:rPr>
      <w:rFonts w:ascii="Times New Roman" w:hAnsi="Times New Roman" w:eastAsia="宋体" w:cs="Times New Roman"/>
      <w:b/>
      <w:bCs/>
      <w:sz w:val="24"/>
      <w:szCs w:val="24"/>
    </w:rPr>
  </w:style>
  <w:style w:type="character" w:styleId="996" w:customStyle="1">
    <w:name w:val="超链接1"/>
    <w:uiPriority w:val="0"/>
    <w:qFormat/>
    <w:rPr>
      <w:color w:val="0000ff"/>
      <w:u w:val="single"/>
    </w:rPr>
  </w:style>
  <w:style w:type="character" w:styleId="997" w:customStyle="1">
    <w:name w:val="正文文本 3 Char"/>
    <w:link w:val="998"/>
    <w:uiPriority w:val="0"/>
    <w:qFormat/>
    <w:rPr>
      <w:rFonts w:ascii="仿宋_GB2312" w:hAnsi="Arial" w:eastAsia="仿宋_GB2312" w:cs="Times New Roman"/>
      <w:sz w:val="32"/>
      <w:szCs w:val="32"/>
    </w:rPr>
  </w:style>
  <w:style w:type="paragraph" w:styleId="998" w:customStyle="1">
    <w:name w:val="正文文本 31"/>
    <w:basedOn w:val="750"/>
    <w:link w:val="997"/>
    <w:uiPriority w:val="0"/>
    <w:qFormat/>
    <w:rPr>
      <w:rFonts w:ascii="仿宋_GB2312" w:hAnsi="Arial" w:eastAsia="仿宋_GB2312"/>
      <w:sz w:val="32"/>
      <w:szCs w:val="32"/>
    </w:rPr>
  </w:style>
  <w:style w:type="character" w:styleId="999" w:customStyle="1">
    <w:name w:val="font5 Char"/>
    <w:uiPriority w:val="0"/>
    <w:qFormat/>
    <w:rPr>
      <w:rFonts w:ascii="宋体" w:hAnsi="宋体" w:eastAsia="宋体"/>
      <w:sz w:val="28"/>
      <w:szCs w:val="28"/>
      <w:lang w:val="en-US" w:eastAsia="zh-CN" w:bidi="ar-SA"/>
    </w:rPr>
  </w:style>
  <w:style w:type="character" w:styleId="1000" w:customStyle="1">
    <w:name w:val="标题 6 Char"/>
    <w:link w:val="982"/>
    <w:uiPriority w:val="0"/>
    <w:qFormat/>
    <w:rPr>
      <w:rFonts w:ascii="Arial" w:hAnsi="Arial" w:eastAsia="黑体" w:cs="Times New Roman"/>
      <w:b/>
      <w:bCs/>
      <w:sz w:val="24"/>
      <w:szCs w:val="24"/>
    </w:rPr>
  </w:style>
  <w:style w:type="character" w:styleId="1001" w:customStyle="1">
    <w:name w:val="已访问的超链接1"/>
    <w:uiPriority w:val="0"/>
    <w:qFormat/>
    <w:rPr>
      <w:color w:val="800080"/>
      <w:u w:val="single"/>
    </w:rPr>
  </w:style>
  <w:style w:type="character" w:styleId="1002" w:customStyle="1">
    <w:name w:val="标题 4 Char"/>
    <w:link w:val="979"/>
    <w:uiPriority w:val="0"/>
    <w:qFormat/>
    <w:rPr>
      <w:rFonts w:ascii="Arial" w:hAnsi="Arial" w:eastAsia="黑体" w:cs="Arial"/>
      <w:b/>
      <w:bCs/>
      <w:sz w:val="28"/>
      <w:szCs w:val="28"/>
    </w:rPr>
  </w:style>
  <w:style w:type="character" w:styleId="1003" w:customStyle="1">
    <w:name w:val="二级目录 Char"/>
    <w:link w:val="1004"/>
    <w:uiPriority w:val="0"/>
    <w:qFormat/>
    <w:rPr>
      <w:b/>
      <w:sz w:val="30"/>
      <w:szCs w:val="28"/>
    </w:rPr>
  </w:style>
  <w:style w:type="paragraph" w:styleId="1004" w:customStyle="1">
    <w:name w:val="二级目录"/>
    <w:link w:val="100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05" w:customStyle="1">
    <w:name w:val="页眉 Char"/>
    <w:link w:val="1006"/>
    <w:uiPriority w:val="0"/>
    <w:qFormat/>
    <w:rPr>
      <w:rFonts w:ascii="Times New Roman" w:hAnsi="Times New Roman" w:eastAsia="宋体" w:cs="Times New Roman"/>
      <w:sz w:val="18"/>
      <w:szCs w:val="18"/>
    </w:rPr>
  </w:style>
  <w:style w:type="paragraph" w:styleId="1006" w:customStyle="1">
    <w:name w:val="页眉1"/>
    <w:basedOn w:val="750"/>
    <w:link w:val="1005"/>
    <w:uiPriority w:val="0"/>
    <w:qFormat/>
    <w:pPr>
      <w:jc w:val="center"/>
      <w:tabs>
        <w:tab w:val="center" w:pos="4153" w:leader="none"/>
        <w:tab w:val="right" w:pos="8306" w:leader="none"/>
      </w:tabs>
      <w:pBdr>
        <w:bottom w:val="single" w:color="000000" w:sz="6" w:space="1"/>
      </w:pBdr>
    </w:pPr>
    <w:rPr>
      <w:sz w:val="18"/>
      <w:szCs w:val="18"/>
    </w:rPr>
  </w:style>
  <w:style w:type="character" w:styleId="1007" w:customStyle="1">
    <w:name w:val="页码1"/>
    <w:uiPriority w:val="0"/>
    <w:qFormat/>
  </w:style>
  <w:style w:type="character" w:styleId="1008" w:customStyle="1">
    <w:name w:val="正文首行缩进 2 Char"/>
    <w:link w:val="1009"/>
    <w:uiPriority w:val="0"/>
    <w:qFormat/>
    <w:rPr>
      <w:rFonts w:ascii="宋体" w:hAnsi="宋体" w:eastAsia="宋体" w:cs="Times New Roman"/>
      <w:sz w:val="32"/>
      <w:szCs w:val="20"/>
    </w:rPr>
  </w:style>
  <w:style w:type="paragraph" w:styleId="1009" w:customStyle="1">
    <w:name w:val="正文首行缩进 21"/>
    <w:basedOn w:val="1010"/>
    <w:link w:val="1008"/>
    <w:uiPriority w:val="0"/>
    <w:qFormat/>
    <w:pPr>
      <w:ind w:firstLine="420"/>
      <w:spacing w:line="360" w:lineRule="auto"/>
    </w:pPr>
    <w:rPr>
      <w:rFonts w:ascii="宋体" w:hAnsi="宋体" w:eastAsia="宋体"/>
      <w:sz w:val="21"/>
      <w:szCs w:val="20"/>
    </w:rPr>
  </w:style>
  <w:style w:type="paragraph" w:styleId="1010" w:customStyle="1">
    <w:name w:val="正文文本缩进1"/>
    <w:basedOn w:val="750"/>
    <w:link w:val="1026"/>
    <w:uiPriority w:val="0"/>
    <w:qFormat/>
    <w:pPr>
      <w:ind w:firstLine="645"/>
    </w:pPr>
    <w:rPr>
      <w:rFonts w:ascii="楷体_GB2312" w:eastAsia="楷体_GB2312"/>
      <w:sz w:val="32"/>
      <w:szCs w:val="32"/>
    </w:rPr>
  </w:style>
  <w:style w:type="character" w:styleId="1011" w:customStyle="1">
    <w:name w:val="标题 3 Char"/>
    <w:link w:val="978"/>
    <w:uiPriority w:val="0"/>
    <w:qFormat/>
    <w:rPr>
      <w:rFonts w:ascii="Times New Roman" w:hAnsi="Times New Roman" w:eastAsia="宋体" w:cs="Times New Roman"/>
      <w:b/>
      <w:bCs/>
      <w:sz w:val="32"/>
      <w:szCs w:val="32"/>
    </w:rPr>
  </w:style>
  <w:style w:type="character" w:styleId="1012" w:customStyle="1">
    <w:name w:val="批注文字 Char"/>
    <w:link w:val="1013"/>
    <w:uiPriority w:val="0"/>
    <w:semiHidden/>
    <w:qFormat/>
    <w:rPr>
      <w:rFonts w:ascii="Times New Roman" w:hAnsi="Times New Roman" w:eastAsia="宋体" w:cs="Times New Roman"/>
      <w:szCs w:val="21"/>
    </w:rPr>
  </w:style>
  <w:style w:type="paragraph" w:styleId="1013" w:customStyle="1">
    <w:name w:val="批注文字1"/>
    <w:basedOn w:val="750"/>
    <w:link w:val="1012"/>
    <w:uiPriority w:val="0"/>
    <w:semiHidden/>
    <w:qFormat/>
    <w:pPr>
      <w:jc w:val="left"/>
    </w:pPr>
  </w:style>
  <w:style w:type="character" w:styleId="1014" w:customStyle="1">
    <w:name w:val="正文缩进 Char"/>
    <w:link w:val="980"/>
    <w:uiPriority w:val="0"/>
    <w:qFormat/>
    <w:rPr>
      <w:rFonts w:ascii="Times New Roman" w:hAnsi="Times New Roman" w:eastAsia="宋体" w:cs="Times New Roman"/>
      <w:szCs w:val="21"/>
    </w:rPr>
  </w:style>
  <w:style w:type="character" w:styleId="1015" w:customStyle="1">
    <w:name w:val="日期 Char"/>
    <w:link w:val="1016"/>
    <w:uiPriority w:val="0"/>
    <w:qFormat/>
    <w:rPr>
      <w:rFonts w:ascii="Times New Roman" w:hAnsi="Times New Roman" w:eastAsia="宋体" w:cs="Times New Roman"/>
      <w:sz w:val="24"/>
      <w:szCs w:val="24"/>
    </w:rPr>
  </w:style>
  <w:style w:type="paragraph" w:styleId="1016" w:customStyle="1">
    <w:name w:val="日期1"/>
    <w:basedOn w:val="750"/>
    <w:link w:val="1015"/>
    <w:uiPriority w:val="0"/>
    <w:qFormat/>
    <w:rPr>
      <w:sz w:val="24"/>
      <w:szCs w:val="24"/>
    </w:rPr>
  </w:style>
  <w:style w:type="character" w:styleId="1017" w:customStyle="1">
    <w:name w:val="要点1"/>
    <w:uiPriority w:val="0"/>
    <w:qFormat/>
    <w:rPr>
      <w:b/>
      <w:bCs/>
    </w:rPr>
  </w:style>
  <w:style w:type="character" w:styleId="1018" w:customStyle="1">
    <w:name w:val="页脚 Char"/>
    <w:link w:val="1019"/>
    <w:uiPriority w:val="0"/>
    <w:qFormat/>
    <w:rPr>
      <w:rFonts w:ascii="Times New Roman" w:hAnsi="Times New Roman" w:eastAsia="宋体" w:cs="Times New Roman"/>
      <w:sz w:val="18"/>
      <w:szCs w:val="18"/>
    </w:rPr>
  </w:style>
  <w:style w:type="paragraph" w:styleId="1019" w:customStyle="1">
    <w:name w:val="页脚1"/>
    <w:basedOn w:val="750"/>
    <w:link w:val="1018"/>
    <w:uiPriority w:val="0"/>
    <w:qFormat/>
    <w:pPr>
      <w:jc w:val="left"/>
      <w:tabs>
        <w:tab w:val="center" w:pos="4153" w:leader="none"/>
        <w:tab w:val="right" w:pos="8306" w:leader="none"/>
      </w:tabs>
    </w:pPr>
    <w:rPr>
      <w:sz w:val="18"/>
      <w:szCs w:val="18"/>
    </w:rPr>
  </w:style>
  <w:style w:type="character" w:styleId="1020" w:customStyle="1">
    <w:name w:val="批注引用1"/>
    <w:uiPriority w:val="0"/>
    <w:semiHidden/>
    <w:qFormat/>
    <w:rPr>
      <w:sz w:val="21"/>
      <w:szCs w:val="21"/>
    </w:rPr>
  </w:style>
  <w:style w:type="character" w:styleId="1021" w:customStyle="1">
    <w:name w:val="标题 5 Char"/>
    <w:link w:val="981"/>
    <w:uiPriority w:val="0"/>
    <w:qFormat/>
    <w:rPr>
      <w:rFonts w:ascii="宋体" w:hAnsi="Times New Roman" w:eastAsia="宋体" w:cs="Times New Roman"/>
      <w:color w:val="000000"/>
      <w:sz w:val="28"/>
      <w:szCs w:val="28"/>
    </w:rPr>
  </w:style>
  <w:style w:type="character" w:styleId="1022" w:customStyle="1">
    <w:name w:val="文档结构图 Char"/>
    <w:link w:val="1023"/>
    <w:uiPriority w:val="0"/>
    <w:semiHidden/>
    <w:qFormat/>
    <w:rPr>
      <w:rFonts w:ascii="Times New Roman" w:hAnsi="Times New Roman" w:eastAsia="宋体" w:cs="Times New Roman"/>
      <w:szCs w:val="21"/>
      <w:shd w:val="clear" w:color="auto" w:fill="000080"/>
    </w:rPr>
  </w:style>
  <w:style w:type="paragraph" w:styleId="1023" w:customStyle="1">
    <w:name w:val="文档结构图1"/>
    <w:basedOn w:val="750"/>
    <w:link w:val="1022"/>
    <w:uiPriority w:val="0"/>
    <w:semiHidden/>
    <w:qFormat/>
    <w:pPr>
      <w:shd w:val="clear" w:color="auto" w:fill="000080"/>
    </w:pPr>
  </w:style>
  <w:style w:type="character" w:styleId="1024" w:customStyle="1">
    <w:name w:val="正文文本缩进 3 Char"/>
    <w:link w:val="1025"/>
    <w:uiPriority w:val="0"/>
    <w:qFormat/>
    <w:rPr>
      <w:rFonts w:ascii="Arial" w:hAnsi="Arial" w:eastAsia="仿宋_GB2312" w:cs="Arial"/>
      <w:color w:val="ffff00"/>
      <w:sz w:val="32"/>
      <w:szCs w:val="32"/>
    </w:rPr>
  </w:style>
  <w:style w:type="paragraph" w:styleId="1025" w:customStyle="1">
    <w:name w:val="正文文本缩进 31"/>
    <w:basedOn w:val="750"/>
    <w:link w:val="1024"/>
    <w:uiPriority w:val="0"/>
    <w:qFormat/>
    <w:pPr>
      <w:ind w:left="645" w:firstLine="645"/>
    </w:pPr>
    <w:rPr>
      <w:rFonts w:ascii="Arial" w:hAnsi="Arial" w:eastAsia="仿宋_GB2312" w:cs="Arial"/>
      <w:color w:val="ffff00"/>
      <w:sz w:val="32"/>
      <w:szCs w:val="32"/>
    </w:rPr>
  </w:style>
  <w:style w:type="character" w:styleId="1026" w:customStyle="1">
    <w:name w:val="正文文本缩进 Char"/>
    <w:link w:val="1010"/>
    <w:uiPriority w:val="0"/>
    <w:qFormat/>
    <w:rPr>
      <w:rFonts w:ascii="楷体_GB2312" w:hAnsi="Times New Roman" w:eastAsia="楷体_GB2312" w:cs="Times New Roman"/>
      <w:sz w:val="32"/>
      <w:szCs w:val="32"/>
    </w:rPr>
  </w:style>
  <w:style w:type="character" w:styleId="1027" w:customStyle="1">
    <w:name w:val="纯文本 Char"/>
    <w:link w:val="1028"/>
    <w:uiPriority w:val="0"/>
    <w:qFormat/>
    <w:rPr>
      <w:rFonts w:ascii="宋体" w:hAnsi="Courier New" w:eastAsia="宋体" w:cs="Courier New"/>
      <w:szCs w:val="21"/>
    </w:rPr>
  </w:style>
  <w:style w:type="paragraph" w:styleId="1028" w:customStyle="1">
    <w:name w:val="纯文本1"/>
    <w:basedOn w:val="750"/>
    <w:link w:val="1027"/>
    <w:uiPriority w:val="0"/>
    <w:qFormat/>
    <w:rPr>
      <w:rFonts w:ascii="宋体" w:hAnsi="Courier New" w:cs="Courier New"/>
    </w:rPr>
  </w:style>
  <w:style w:type="character" w:styleId="1029" w:customStyle="1">
    <w:name w:val="标题 1 Char"/>
    <w:link w:val="976"/>
    <w:uiPriority w:val="0"/>
    <w:qFormat/>
    <w:rPr>
      <w:rFonts w:ascii="楷体_GB2312" w:hAnsi="楷体_GB2312" w:eastAsia="黑体" w:cs="Times New Roman"/>
      <w:sz w:val="44"/>
      <w:szCs w:val="28"/>
    </w:rPr>
  </w:style>
  <w:style w:type="character" w:styleId="1030" w:customStyle="1">
    <w:name w:val="标题 2 Char"/>
    <w:link w:val="977"/>
    <w:uiPriority w:val="0"/>
    <w:qFormat/>
    <w:rPr>
      <w:rFonts w:ascii="Arial" w:hAnsi="Arial" w:eastAsia="幼圆" w:cs="Arial"/>
      <w:b/>
      <w:bCs/>
      <w:sz w:val="44"/>
      <w:szCs w:val="44"/>
    </w:rPr>
  </w:style>
  <w:style w:type="character" w:styleId="1031" w:customStyle="1">
    <w:name w:val="标题 9 Char"/>
    <w:link w:val="985"/>
    <w:uiPriority w:val="0"/>
    <w:qFormat/>
    <w:rPr>
      <w:rFonts w:ascii="Arial" w:hAnsi="Arial" w:eastAsia="黑体" w:cs="Times New Roman"/>
      <w:szCs w:val="21"/>
    </w:rPr>
  </w:style>
  <w:style w:type="character" w:styleId="1032" w:customStyle="1">
    <w:name w:val="正文文本缩进 2 Char"/>
    <w:link w:val="1033"/>
    <w:uiPriority w:val="0"/>
    <w:qFormat/>
    <w:rPr>
      <w:rFonts w:ascii="Arial" w:hAnsi="Arial" w:eastAsia="仿宋_GB2312" w:cs="Arial"/>
      <w:sz w:val="32"/>
      <w:szCs w:val="32"/>
    </w:rPr>
  </w:style>
  <w:style w:type="paragraph" w:styleId="1033" w:customStyle="1">
    <w:name w:val="正文文本缩进 21"/>
    <w:basedOn w:val="750"/>
    <w:link w:val="1032"/>
    <w:uiPriority w:val="0"/>
    <w:qFormat/>
    <w:pPr>
      <w:ind w:left="630" w:firstLine="645"/>
    </w:pPr>
    <w:rPr>
      <w:rFonts w:ascii="Arial" w:hAnsi="Arial" w:eastAsia="仿宋_GB2312" w:cs="Arial"/>
      <w:sz w:val="32"/>
      <w:szCs w:val="32"/>
    </w:rPr>
  </w:style>
  <w:style w:type="character" w:styleId="1034" w:customStyle="1">
    <w:name w:val="正文文本 2 Char"/>
    <w:link w:val="1035"/>
    <w:uiPriority w:val="0"/>
    <w:qFormat/>
    <w:rPr>
      <w:rFonts w:ascii="楷体_GB2312" w:hAnsi="Times New Roman" w:eastAsia="楷体_GB2312" w:cs="Times New Roman"/>
      <w:sz w:val="28"/>
      <w:szCs w:val="28"/>
    </w:rPr>
  </w:style>
  <w:style w:type="paragraph" w:styleId="1035" w:customStyle="1">
    <w:name w:val="正文文本 21"/>
    <w:basedOn w:val="750"/>
    <w:link w:val="1034"/>
    <w:uiPriority w:val="0"/>
    <w:qFormat/>
    <w:pPr>
      <w:jc w:val="center"/>
      <w:widowControl/>
    </w:pPr>
    <w:rPr>
      <w:rFonts w:ascii="楷体_GB2312" w:eastAsia="楷体_GB2312"/>
      <w:sz w:val="28"/>
      <w:szCs w:val="28"/>
    </w:rPr>
  </w:style>
  <w:style w:type="character" w:styleId="1036" w:customStyle="1">
    <w:name w:val="批注主题 Char"/>
    <w:link w:val="1037"/>
    <w:uiPriority w:val="0"/>
    <w:semiHidden/>
    <w:qFormat/>
    <w:rPr>
      <w:rFonts w:ascii="Times New Roman" w:hAnsi="Times New Roman" w:eastAsia="宋体" w:cs="Times New Roman"/>
      <w:b/>
      <w:bCs/>
      <w:szCs w:val="21"/>
    </w:rPr>
  </w:style>
  <w:style w:type="paragraph" w:styleId="1037" w:customStyle="1">
    <w:name w:val="批注主题1"/>
    <w:basedOn w:val="1013"/>
    <w:link w:val="1036"/>
    <w:uiPriority w:val="0"/>
    <w:semiHidden/>
    <w:qFormat/>
    <w:rPr>
      <w:b/>
      <w:bCs/>
    </w:rPr>
  </w:style>
  <w:style w:type="character" w:styleId="1038" w:customStyle="1">
    <w:name w:val="正文首行缩进 Char"/>
    <w:link w:val="1039"/>
    <w:uiPriority w:val="0"/>
    <w:qFormat/>
    <w:rPr>
      <w:rFonts w:ascii="仿宋_GB2312" w:hAnsi="Times New Roman" w:eastAsia="仿宋_GB2312" w:cs="Times New Roman"/>
      <w:sz w:val="30"/>
      <w:szCs w:val="30"/>
    </w:rPr>
  </w:style>
  <w:style w:type="paragraph" w:styleId="1039" w:customStyle="1">
    <w:name w:val="正文首行缩进1"/>
    <w:basedOn w:val="750"/>
    <w:link w:val="1038"/>
    <w:uiPriority w:val="0"/>
    <w:qFormat/>
    <w:pPr>
      <w:ind w:firstLine="200"/>
      <w:spacing w:line="360" w:lineRule="auto"/>
    </w:pPr>
    <w:rPr>
      <w:rFonts w:ascii="仿宋_GB2312" w:eastAsia="仿宋_GB2312"/>
      <w:sz w:val="30"/>
      <w:szCs w:val="30"/>
    </w:rPr>
  </w:style>
  <w:style w:type="paragraph" w:styleId="1040" w:customStyle="1">
    <w:name w:val="table_lines"/>
    <w:basedOn w:val="750"/>
    <w:uiPriority w:val="0"/>
    <w:qFormat/>
    <w:pPr>
      <w:jc w:val="left"/>
      <w:widowControl/>
    </w:pPr>
    <w:rPr>
      <w:sz w:val="20"/>
      <w:szCs w:val="20"/>
      <w:lang w:val="de-DE" w:eastAsia="de-DE"/>
    </w:rPr>
  </w:style>
  <w:style w:type="paragraph" w:styleId="1041" w:customStyle="1">
    <w:name w:val="Char"/>
    <w:basedOn w:val="1023"/>
    <w:uiPriority w:val="0"/>
    <w:qFormat/>
    <w:rPr>
      <w:rFonts w:ascii="Tahoma" w:hAnsi="Tahoma"/>
      <w:sz w:val="24"/>
      <w:szCs w:val="24"/>
    </w:rPr>
  </w:style>
  <w:style w:type="paragraph" w:styleId="1042" w:customStyle="1">
    <w:name w:val="索引 11"/>
    <w:basedOn w:val="750"/>
    <w:uiPriority w:val="0"/>
    <w:semiHidden/>
    <w:qFormat/>
    <w:pPr>
      <w:spacing w:line="240" w:lineRule="atLeast"/>
    </w:pPr>
    <w:rPr>
      <w:b/>
      <w:bCs/>
    </w:rPr>
  </w:style>
  <w:style w:type="paragraph" w:styleId="1043" w:customStyle="1">
    <w:name w:val="目录 51"/>
    <w:basedOn w:val="750"/>
    <w:uiPriority w:val="0"/>
    <w:semiHidden/>
    <w:qFormat/>
    <w:pPr>
      <w:ind w:left="840"/>
      <w:jc w:val="left"/>
    </w:pPr>
  </w:style>
  <w:style w:type="paragraph" w:styleId="1044" w:customStyle="1">
    <w:name w:val="Char Char Char Char"/>
    <w:basedOn w:val="1023"/>
    <w:uiPriority w:val="0"/>
    <w:qFormat/>
    <w:pPr>
      <w:spacing w:line="360" w:lineRule="auto"/>
    </w:pPr>
    <w:rPr>
      <w:rFonts w:ascii="Tahoma" w:hAnsi="Tahoma"/>
      <w:sz w:val="24"/>
      <w:szCs w:val="24"/>
    </w:rPr>
  </w:style>
  <w:style w:type="paragraph" w:styleId="1045" w:customStyle="1">
    <w:name w:val="列出段落2"/>
    <w:basedOn w:val="750"/>
    <w:uiPriority w:val="0"/>
    <w:qFormat/>
    <w:pPr>
      <w:contextualSpacing/>
      <w:ind w:left="720"/>
      <w:jc w:val="left"/>
      <w:widowControl/>
    </w:pPr>
    <w:rPr>
      <w:rFonts w:ascii="Calibri" w:hAnsi="Calibri"/>
      <w:sz w:val="24"/>
      <w:szCs w:val="24"/>
      <w:lang w:eastAsia="en-US" w:bidi="en-US"/>
    </w:rPr>
  </w:style>
  <w:style w:type="paragraph" w:styleId="1046" w:customStyle="1">
    <w:name w:val="普通(网站)1"/>
    <w:basedOn w:val="750"/>
    <w:uiPriority w:val="99"/>
    <w:qFormat/>
    <w:pPr>
      <w:jc w:val="left"/>
      <w:spacing w:before="100" w:beforeAutospacing="1" w:after="100" w:afterAutospacing="1"/>
      <w:widowControl/>
    </w:pPr>
    <w:rPr>
      <w:rFonts w:ascii="宋体" w:hAnsi="宋体" w:cs="宋体"/>
      <w:sz w:val="24"/>
      <w:szCs w:val="24"/>
    </w:rPr>
  </w:style>
  <w:style w:type="paragraph" w:styleId="104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48" w:customStyle="1">
    <w:name w:val="普通 (Web)"/>
    <w:basedOn w:val="750"/>
    <w:uiPriority w:val="0"/>
    <w:qFormat/>
    <w:pPr>
      <w:jc w:val="left"/>
      <w:spacing w:before="100" w:beforeAutospacing="1" w:after="100" w:afterAutospacing="1"/>
      <w:widowControl/>
    </w:pPr>
    <w:rPr>
      <w:rFonts w:ascii="宋体" w:hAnsi="宋体"/>
      <w:sz w:val="24"/>
      <w:szCs w:val="24"/>
    </w:rPr>
  </w:style>
  <w:style w:type="paragraph" w:styleId="1049" w:customStyle="1">
    <w:name w:val="xl27"/>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目录 81"/>
    <w:basedOn w:val="750"/>
    <w:uiPriority w:val="0"/>
    <w:semiHidden/>
    <w:qFormat/>
    <w:pPr>
      <w:ind w:left="1470"/>
      <w:jc w:val="left"/>
    </w:pPr>
  </w:style>
  <w:style w:type="paragraph" w:styleId="1051" w:customStyle="1">
    <w:name w:val="目录 91"/>
    <w:basedOn w:val="750"/>
    <w:uiPriority w:val="0"/>
    <w:semiHidden/>
    <w:qFormat/>
    <w:pPr>
      <w:ind w:left="1680"/>
      <w:jc w:val="left"/>
    </w:pPr>
  </w:style>
  <w:style w:type="paragraph" w:styleId="1052" w:customStyle="1">
    <w:name w:val="Char1"/>
    <w:basedOn w:val="750"/>
    <w:uiPriority w:val="0"/>
    <w:qFormat/>
    <w:pPr>
      <w:ind w:firstLine="200"/>
      <w:tabs>
        <w:tab w:val="left" w:pos="360" w:leader="none"/>
      </w:tabs>
    </w:pPr>
    <w:rPr>
      <w:sz w:val="28"/>
      <w:szCs w:val="30"/>
    </w:rPr>
  </w:style>
  <w:style w:type="paragraph" w:styleId="1053" w:customStyle="1">
    <w:name w:val="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054" w:customStyle="1">
    <w:name w:val="font7"/>
    <w:basedOn w:val="750"/>
    <w:uiPriority w:val="0"/>
    <w:qFormat/>
    <w:pPr>
      <w:jc w:val="left"/>
      <w:spacing w:before="100" w:beforeAutospacing="1" w:after="100" w:afterAutospacing="1"/>
      <w:widowControl/>
    </w:pPr>
    <w:rPr>
      <w:rFonts w:hint="eastAsia" w:ascii="宋体" w:hAnsi="宋体"/>
      <w:sz w:val="18"/>
      <w:szCs w:val="18"/>
    </w:rPr>
  </w:style>
  <w:style w:type="paragraph" w:styleId="1055" w:customStyle="1">
    <w:name w:val="Char Char Char Char Char Char Char Char Char Char"/>
    <w:basedOn w:val="750"/>
    <w:uiPriority w:val="0"/>
    <w:qFormat/>
    <w:pPr>
      <w:spacing w:line="360" w:lineRule="auto"/>
    </w:pPr>
    <w:rPr>
      <w:sz w:val="24"/>
      <w:szCs w:val="20"/>
    </w:rPr>
  </w:style>
  <w:style w:type="paragraph" w:styleId="1056" w:customStyle="1">
    <w:name w:val="xl2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7" w:customStyle="1">
    <w:name w:val="table_1stline"/>
    <w:basedOn w:val="750"/>
    <w:uiPriority w:val="0"/>
    <w:qFormat/>
    <w:pPr>
      <w:jc w:val="left"/>
      <w:spacing w:before="120"/>
      <w:widowControl/>
    </w:pPr>
    <w:rPr>
      <w:bCs/>
      <w:sz w:val="20"/>
      <w:szCs w:val="20"/>
      <w:lang w:val="de-DE" w:eastAsia="de-DE"/>
    </w:rPr>
  </w:style>
  <w:style w:type="paragraph" w:styleId="1058"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9" w:customStyle="1">
    <w:name w:val="目录 31"/>
    <w:basedOn w:val="750"/>
    <w:uiPriority w:val="0"/>
    <w:semiHidden/>
    <w:qFormat/>
    <w:pPr>
      <w:ind w:left="420"/>
      <w:jc w:val="left"/>
    </w:pPr>
    <w:rPr>
      <w:i/>
      <w:iCs/>
      <w:szCs w:val="24"/>
    </w:rPr>
  </w:style>
  <w:style w:type="paragraph" w:styleId="1060" w:customStyle="1">
    <w:name w:val="目录 61"/>
    <w:basedOn w:val="750"/>
    <w:uiPriority w:val="0"/>
    <w:semiHidden/>
    <w:qFormat/>
    <w:pPr>
      <w:ind w:left="1050"/>
      <w:jc w:val="left"/>
    </w:pPr>
  </w:style>
  <w:style w:type="paragraph" w:styleId="1061" w:customStyle="1">
    <w:name w:val="目录 71"/>
    <w:basedOn w:val="750"/>
    <w:uiPriority w:val="0"/>
    <w:semiHidden/>
    <w:qFormat/>
    <w:pPr>
      <w:ind w:left="1260"/>
      <w:jc w:val="left"/>
    </w:pPr>
  </w:style>
  <w:style w:type="paragraph" w:styleId="1062"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63" w:customStyle="1">
    <w:name w:val="标题3"/>
    <w:basedOn w:val="750"/>
    <w:uiPriority w:val="0"/>
    <w:qFormat/>
    <w:pPr>
      <w:ind w:firstLine="624"/>
      <w:spacing w:line="590" w:lineRule="atLeast"/>
    </w:pPr>
    <w:rPr>
      <w:rFonts w:ascii="方正黑体_GBK" w:eastAsia="方正黑体_GBK"/>
      <w:sz w:val="32"/>
      <w:szCs w:val="32"/>
    </w:rPr>
  </w:style>
  <w:style w:type="paragraph" w:styleId="1064" w:customStyle="1">
    <w:name w:val="列表 31"/>
    <w:basedOn w:val="750"/>
    <w:uiPriority w:val="0"/>
    <w:qFormat/>
    <w:pPr>
      <w:ind w:left="100" w:hanging="200"/>
    </w:pPr>
  </w:style>
  <w:style w:type="paragraph" w:styleId="1065" w:customStyle="1">
    <w:name w:val="目录 11"/>
    <w:basedOn w:val="750"/>
    <w:uiPriority w:val="0"/>
    <w:semiHidden/>
    <w:qFormat/>
    <w:pPr>
      <w:jc w:val="left"/>
      <w:spacing w:before="120" w:after="120" w:line="400" w:lineRule="exact"/>
      <w:tabs>
        <w:tab w:val="right" w:pos="8720" w:leader="dot"/>
      </w:tabs>
    </w:pPr>
    <w:rPr>
      <w:rFonts w:ascii="宋体" w:hAnsi="宋体"/>
      <w:caps/>
      <w:sz w:val="24"/>
      <w:szCs w:val="24"/>
    </w:rPr>
  </w:style>
  <w:style w:type="paragraph" w:styleId="1066" w:customStyle="1">
    <w:name w:val="xl30"/>
    <w:basedOn w:val="750"/>
    <w:uiPriority w:val="0"/>
    <w:qFormat/>
    <w:pPr>
      <w:jc w:val="center"/>
      <w:spacing w:before="100" w:beforeAutospacing="1" w:after="100" w:afterAutospacing="1"/>
      <w:widowControl/>
    </w:pPr>
    <w:rPr>
      <w:rFonts w:ascii="宋体" w:hAnsi="宋体"/>
      <w:b/>
      <w:bCs/>
      <w:sz w:val="36"/>
      <w:szCs w:val="36"/>
    </w:rPr>
  </w:style>
  <w:style w:type="paragraph" w:styleId="1067" w:customStyle="1">
    <w:name w:val="目录 41"/>
    <w:basedOn w:val="750"/>
    <w:uiPriority w:val="0"/>
    <w:semiHidden/>
    <w:qFormat/>
    <w:pPr>
      <w:ind w:left="630"/>
      <w:jc w:val="left"/>
    </w:pPr>
  </w:style>
  <w:style w:type="paragraph" w:styleId="1068" w:customStyle="1">
    <w:name w:val="4"/>
    <w:basedOn w:val="750"/>
    <w:uiPriority w:val="0"/>
    <w:qFormat/>
    <w:pPr>
      <w:ind w:firstLine="420"/>
      <w:spacing w:line="360" w:lineRule="auto"/>
    </w:pPr>
    <w:rPr>
      <w:color w:val="ff0000"/>
      <w:sz w:val="24"/>
      <w:szCs w:val="24"/>
    </w:rPr>
  </w:style>
  <w:style w:type="paragraph" w:styleId="1069" w:customStyle="1">
    <w:name w:val="列表 21"/>
    <w:basedOn w:val="750"/>
    <w:uiPriority w:val="0"/>
    <w:qFormat/>
    <w:pPr>
      <w:ind w:left="100" w:hanging="200"/>
    </w:pPr>
  </w:style>
  <w:style w:type="paragraph" w:styleId="1070" w:customStyle="1">
    <w:name w:val="目录 21"/>
    <w:basedOn w:val="750"/>
    <w:uiPriority w:val="0"/>
    <w:semiHidden/>
    <w:qFormat/>
    <w:pPr>
      <w:ind w:left="210"/>
      <w:jc w:val="left"/>
    </w:pPr>
    <w:rPr>
      <w:szCs w:val="24"/>
    </w:rPr>
  </w:style>
  <w:style w:type="paragraph" w:styleId="1071" w:customStyle="1">
    <w:name w:val="Char Char Char Char1"/>
    <w:basedOn w:val="1023"/>
    <w:uiPriority w:val="0"/>
    <w:qFormat/>
    <w:pPr>
      <w:spacing w:line="360" w:lineRule="auto"/>
    </w:pPr>
    <w:rPr>
      <w:rFonts w:ascii="Tahoma" w:hAnsi="Tahoma"/>
      <w:sz w:val="24"/>
      <w:szCs w:val="24"/>
    </w:rPr>
  </w:style>
  <w:style w:type="paragraph" w:styleId="1072"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1073" w:customStyle="1">
    <w:name w:val="Body Text(ch)"/>
    <w:basedOn w:val="750"/>
    <w:uiPriority w:val="0"/>
    <w:qFormat/>
    <w:pPr>
      <w:spacing w:after="120"/>
    </w:pPr>
    <w:rPr>
      <w:rFonts w:ascii="宋体" w:hAnsi="Arial"/>
      <w:bCs/>
      <w:iCs/>
      <w:szCs w:val="24"/>
    </w:rPr>
  </w:style>
  <w:style w:type="paragraph" w:styleId="1074" w:customStyle="1">
    <w:name w:val="列表1"/>
    <w:basedOn w:val="750"/>
    <w:uiPriority w:val="0"/>
    <w:qFormat/>
    <w:pPr>
      <w:ind w:left="200" w:hanging="200"/>
    </w:pPr>
  </w:style>
  <w:style w:type="paragraph" w:styleId="1075" w:customStyle="1">
    <w:name w:val="样式1"/>
    <w:basedOn w:val="750"/>
    <w:uiPriority w:val="0"/>
    <w:qFormat/>
    <w:pPr>
      <w:numPr>
        <w:ilvl w:val="0"/>
        <w:numId w:val="4"/>
      </w:numPr>
    </w:pPr>
    <w:rPr>
      <w:rFonts w:ascii="宋体" w:hAnsi="宋体"/>
    </w:rPr>
  </w:style>
  <w:style w:type="paragraph" w:styleId="1076" w:customStyle="1">
    <w:name w:val="xl29"/>
    <w:basedOn w:val="75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7" w:customStyle="1">
    <w:name w:val="font5"/>
    <w:basedOn w:val="750"/>
    <w:uiPriority w:val="0"/>
    <w:qFormat/>
    <w:pPr>
      <w:jc w:val="left"/>
      <w:spacing w:before="100" w:beforeAutospacing="1" w:after="100" w:afterAutospacing="1"/>
      <w:widowControl/>
    </w:pPr>
    <w:rPr>
      <w:rFonts w:hint="eastAsia" w:ascii="宋体" w:hAnsi="宋体"/>
      <w:sz w:val="28"/>
      <w:szCs w:val="28"/>
    </w:rPr>
  </w:style>
  <w:style w:type="paragraph" w:styleId="1078" w:customStyle="1">
    <w:name w:val="图表目录1"/>
    <w:basedOn w:val="750"/>
    <w:uiPriority w:val="0"/>
    <w:semiHidden/>
    <w:qFormat/>
    <w:pPr>
      <w:ind w:left="840" w:hanging="420"/>
    </w:pPr>
  </w:style>
  <w:style w:type="paragraph" w:styleId="1079" w:customStyle="1">
    <w:name w:val="图标"/>
    <w:basedOn w:val="75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0" w:customStyle="1">
    <w:name w:val="font6"/>
    <w:basedOn w:val="750"/>
    <w:uiPriority w:val="0"/>
    <w:qFormat/>
    <w:pPr>
      <w:jc w:val="left"/>
      <w:spacing w:before="100" w:beforeAutospacing="1" w:after="100" w:afterAutospacing="1"/>
      <w:widowControl/>
    </w:pPr>
    <w:rPr>
      <w:rFonts w:hint="eastAsia" w:ascii="宋体" w:hAnsi="宋体"/>
      <w:sz w:val="28"/>
      <w:szCs w:val="28"/>
      <w:u w:val="single"/>
    </w:rPr>
  </w:style>
  <w:style w:type="paragraph" w:styleId="1081" w:customStyle="1">
    <w:name w:val="xl25"/>
    <w:basedOn w:val="75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2" w:customStyle="1">
    <w:name w:val="xl24"/>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3" w:customStyle="1">
    <w:name w:val="Char Char Char Char Char Char Char Char1"/>
    <w:basedOn w:val="750"/>
    <w:uiPriority w:val="0"/>
    <w:qFormat/>
    <w:pPr>
      <w:jc w:val="left"/>
      <w:spacing w:after="160" w:line="240" w:lineRule="exact"/>
      <w:widowControl/>
    </w:pPr>
    <w:rPr>
      <w:rFonts w:ascii="Verdana" w:hAnsi="Verdana"/>
      <w:sz w:val="20"/>
      <w:szCs w:val="20"/>
      <w:lang w:eastAsia="en-US"/>
    </w:rPr>
  </w:style>
  <w:style w:type="paragraph" w:styleId="1084" w:customStyle="1">
    <w:name w:val="标题1"/>
    <w:basedOn w:val="75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5" w:customStyle="1">
    <w:name w:val="修订1"/>
    <w:uiPriority w:val="99"/>
    <w:semiHidden/>
    <w:qFormat/>
    <w:rPr>
      <w:rFonts w:ascii="Times New Roman" w:hAnsi="Times New Roman" w:eastAsia="宋体" w:cs="Times New Roman"/>
      <w:sz w:val="21"/>
      <w:szCs w:val="21"/>
      <w:lang w:val="en-US" w:eastAsia="zh-CN" w:bidi="ar-SA"/>
    </w:rPr>
  </w:style>
  <w:style w:type="paragraph" w:styleId="1086" w:customStyle="1">
    <w:name w:val="正文1"/>
    <w:basedOn w:val="750"/>
    <w:uiPriority w:val="99"/>
    <w:qFormat/>
    <w:pPr>
      <w:ind w:firstLine="480"/>
      <w:spacing w:line="440" w:lineRule="exact"/>
    </w:pPr>
    <w:rPr>
      <w:rFonts w:ascii="微软雅黑" w:hAnsi="微软雅黑" w:eastAsia="微软雅黑"/>
      <w:sz w:val="24"/>
      <w:szCs w:val="20"/>
    </w:rPr>
  </w:style>
  <w:style w:type="table" w:styleId="1087" w:customStyle="1">
    <w:name w:val="网格型1"/>
    <w:basedOn w:val="987"/>
    <w:uiPriority w:val="0"/>
    <w:qFormat/>
    <w:pPr>
      <w:jc w:val="both"/>
      <w:widowControl w:val="off"/>
    </w:pPr>
    <w:rPr>
      <w:rFonts w:ascii="Times New Roman" w:hAnsi="Times New Roman"/>
    </w:rPr>
    <w:tblPr>
      <w:tblCellMar>
        <w:left w:w="0" w:type="dxa"/>
        <w:top w:w="0" w:type="dxa"/>
        <w:right w:w="0" w:type="dxa"/>
        <w:bottom w:w="0" w:type="dxa"/>
      </w:tblCellMar>
    </w:tblPr>
  </w:style>
  <w:style w:type="character" w:styleId="1088" w:customStyle="1">
    <w:name w:val="正文文本 Char1"/>
    <w:basedOn w:val="760"/>
    <w:uiPriority w:val="99"/>
    <w:semiHidden/>
    <w:qFormat/>
    <w:rPr>
      <w:rFonts w:ascii="Times New Roman" w:hAnsi="Times New Roman"/>
      <w:sz w:val="21"/>
      <w:szCs w:val="21"/>
    </w:rPr>
  </w:style>
  <w:style w:type="paragraph" w:styleId="1089" w:customStyle="1">
    <w:name w:val="正文2"/>
    <w:basedOn w:val="750"/>
    <w:uiPriority w:val="0"/>
    <w:qFormat/>
    <w:pPr>
      <w:spacing w:line="360" w:lineRule="auto"/>
      <w:tabs>
        <w:tab w:val="left" w:pos="6480" w:leader="none"/>
      </w:tabs>
    </w:pPr>
    <w:rPr>
      <w:sz w:val="24"/>
      <w:szCs w:val="24"/>
    </w:rPr>
  </w:style>
  <w:style w:type="paragraph" w:styleId="1090" w:customStyle="1">
    <w:name w:val="1 正文"/>
    <w:basedOn w:val="750"/>
    <w:uiPriority w:val="0"/>
    <w:qFormat/>
    <w:pPr>
      <w:ind w:firstLine="420"/>
      <w:spacing w:line="360" w:lineRule="auto"/>
    </w:pPr>
    <w:rPr>
      <w:rFonts w:ascii="宋体" w:hAnsi="宋体"/>
      <w:sz w:val="24"/>
      <w:szCs w:val="24"/>
    </w:rPr>
  </w:style>
  <w:style w:type="paragraph" w:styleId="1091" w:customStyle="1">
    <w:name w:val="A正文"/>
    <w:basedOn w:val="750"/>
    <w:uiPriority w:val="0"/>
    <w:qFormat/>
    <w:pPr>
      <w:ind w:firstLine="200"/>
      <w:spacing w:line="360" w:lineRule="auto"/>
    </w:pPr>
    <w:rPr>
      <w:rFonts w:cs="宋体"/>
      <w:sz w:val="24"/>
      <w:szCs w:val="28"/>
      <w:lang w:eastAsia="zh-Hans"/>
    </w:rPr>
  </w:style>
  <w:style w:type="paragraph" w:styleId="1092" w:customStyle="1">
    <w:name w:val="列出段落11"/>
    <w:uiPriority w:val="34"/>
    <w:qFormat/>
    <w:pPr>
      <w:ind w:firstLine="420"/>
      <w:jc w:val="both"/>
      <w:widowControl w:val="off"/>
    </w:pPr>
    <w:rPr>
      <w:rFonts w:ascii="宋体" w:hAnsi="宋体" w:eastAsia="宋体" w:cs="Times New Roman"/>
      <w:sz w:val="24"/>
      <w:szCs w:val="24"/>
      <w:lang w:val="en-US" w:eastAsia="zh-CN" w:bidi="ar-SA"/>
    </w:rPr>
  </w:style>
  <w:style w:type="paragraph" w:styleId="1093"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paragraph" w:styleId="1094"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1095" w:customStyle="1">
    <w:name w:val="UserStyle_11"/>
    <w:uiPriority w:val="0"/>
    <w:qFormat/>
    <w:rPr>
      <w:sz w:val="21"/>
      <w:szCs w:val="21"/>
      <w:lang w:val="en-US" w:eastAsia="zh-CN" w:bidi="ar-SA"/>
    </w:rPr>
  </w:style>
  <w:style w:type="character" w:styleId="1096" w:customStyle="1">
    <w:name w:val="NormalCharacter"/>
    <w:uiPriority w:val="0"/>
    <w:qFormat/>
  </w:style>
  <w:style w:type="paragraph" w:styleId="109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47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2</cp:revision>
  <dcterms:created xsi:type="dcterms:W3CDTF">2023-12-04T02:59:00Z</dcterms:created>
  <dcterms:modified xsi:type="dcterms:W3CDTF">2025-12-10T07:57:01Z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EBA0DBB2971844FC8C0D203CB8208F18_12</vt:lpwstr>
  </property>
  <property fmtid="{D5CDD505-2E9C-101B-9397-08002B2CF9AE}" pid="4" name="KSOTemplateDocerSaveRecord">
    <vt:lpwstr>eyJoZGlkIjoiZGIzMGMxN2VhMzllNDdkOTMzOTRmMTg1ODFiMjk1YTUiLCJ1c2VySWQiOiI1NzA0MTgyNDIifQ==</vt:lpwstr>
  </property>
</Properties>
</file>